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63" w:rsidRPr="00F41BC2" w:rsidRDefault="00847063" w:rsidP="00F41BC2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</w:pPr>
      <w:r w:rsidRPr="00F41BC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00175" cy="1251585"/>
            <wp:effectExtent l="0" t="0" r="9525" b="5715"/>
            <wp:wrapThrough wrapText="bothSides">
              <wp:wrapPolygon edited="0">
                <wp:start x="0" y="0"/>
                <wp:lineTo x="0" y="21370"/>
                <wp:lineTo x="21453" y="21370"/>
                <wp:lineTo x="2145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A37F83" w:rsidRPr="00F41BC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GB"/>
          </w:rPr>
          <w:t>Maja</w:t>
        </w:r>
      </w:hyperlink>
      <w:r w:rsidR="00A37F83" w:rsidRPr="00F41BC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 xml:space="preserve"> </w:t>
      </w:r>
      <w:proofErr w:type="spellStart"/>
      <w:r w:rsidR="00A37F83" w:rsidRPr="00F41BC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>Kadievska</w:t>
      </w:r>
      <w:proofErr w:type="spellEnd"/>
      <w:r w:rsidR="00A37F83" w:rsidRPr="00F41BC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 xml:space="preserve"> </w:t>
      </w:r>
      <w:proofErr w:type="spellStart"/>
      <w:r w:rsidR="00A37F83" w:rsidRPr="00F41BC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>Vojnovikj</w:t>
      </w:r>
      <w:proofErr w:type="spellEnd"/>
    </w:p>
    <w:p w:rsidR="00F41BC2" w:rsidRDefault="00A37F83" w:rsidP="00F41BC2">
      <w:pPr>
        <w:rPr>
          <w:sz w:val="20"/>
          <w:szCs w:val="20"/>
          <w:lang w:val="en-GB"/>
        </w:rPr>
      </w:pPr>
      <w:r w:rsidRPr="00EF0AA2">
        <w:rPr>
          <w:rFonts w:ascii="Times New Roman" w:hAnsi="Times New Roman" w:cs="Times New Roman"/>
          <w:b/>
          <w:sz w:val="20"/>
          <w:szCs w:val="20"/>
          <w:lang w:val="en-GB"/>
        </w:rPr>
        <w:t>PROFILE SUMMARY</w:t>
      </w:r>
    </w:p>
    <w:p w:rsidR="00C831B0" w:rsidRPr="00F41BC2" w:rsidRDefault="00A37F83" w:rsidP="00F41BC2">
      <w:pPr>
        <w:jc w:val="both"/>
        <w:rPr>
          <w:sz w:val="20"/>
          <w:szCs w:val="20"/>
          <w:lang w:val="en-GB"/>
        </w:rPr>
      </w:pPr>
      <w:r w:rsidRPr="00EF0AA2">
        <w:rPr>
          <w:rFonts w:ascii="Times New Roman" w:hAnsi="Times New Roman" w:cs="Times New Roman"/>
          <w:sz w:val="20"/>
          <w:szCs w:val="20"/>
          <w:lang w:val="en-GB"/>
        </w:rPr>
        <w:t xml:space="preserve">Central banker with 16 years of experience in macroeconomic management, monetary and fiscal policy. Experienced in monetary policy implementation, </w:t>
      </w:r>
      <w:r w:rsidR="006A0548">
        <w:rPr>
          <w:rFonts w:ascii="Times New Roman" w:hAnsi="Times New Roman" w:cs="Times New Roman"/>
          <w:sz w:val="20"/>
          <w:szCs w:val="20"/>
          <w:lang w:val="en-GB"/>
        </w:rPr>
        <w:t xml:space="preserve">fiscal policy, </w:t>
      </w:r>
      <w:r w:rsidRPr="00EF0AA2">
        <w:rPr>
          <w:rFonts w:ascii="Times New Roman" w:hAnsi="Times New Roman" w:cs="Times New Roman"/>
          <w:sz w:val="20"/>
          <w:szCs w:val="20"/>
          <w:lang w:val="en-GB"/>
        </w:rPr>
        <w:t xml:space="preserve">financial markets, foreign reserves management, payment systems, and governance of the Central bank balance sheet. Proven leadership, project manager and problem-solving skills. </w:t>
      </w:r>
    </w:p>
    <w:p w:rsidR="00F4588E" w:rsidRPr="00F41BC2" w:rsidRDefault="00847063" w:rsidP="00F41BC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EF0AA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810375" cy="9525"/>
                <wp:effectExtent l="0" t="0" r="28575" b="2857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8FA8D" id="Line 24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536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K2HQIAADc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" strokeweight="1.5pt">
                <w10:wrap anchorx="margin"/>
              </v:line>
            </w:pict>
          </mc:Fallback>
        </mc:AlternateContent>
      </w:r>
      <w:r w:rsidR="00F4588E" w:rsidRPr="00EF0AA2">
        <w:rPr>
          <w:rFonts w:ascii="Times New Roman" w:hAnsi="Times New Roman" w:cs="Times New Roman"/>
          <w:b/>
          <w:sz w:val="20"/>
          <w:szCs w:val="20"/>
          <w:lang w:val="en-GB"/>
        </w:rPr>
        <w:t>PROFESSIONAL EXPERIENCE</w:t>
      </w:r>
    </w:p>
    <w:p w:rsidR="00847063" w:rsidRPr="00847063" w:rsidRDefault="00084463" w:rsidP="00CF4C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University of </w:t>
      </w:r>
      <w:r w:rsidR="00847063" w:rsidRPr="00847063">
        <w:rPr>
          <w:rFonts w:ascii="Times New Roman" w:hAnsi="Times New Roman" w:cs="Times New Roman"/>
          <w:b/>
          <w:sz w:val="20"/>
          <w:szCs w:val="20"/>
          <w:lang w:val="en-GB"/>
        </w:rPr>
        <w:t xml:space="preserve">American College Skopje - UACS </w:t>
      </w:r>
      <w:r w:rsidR="0084706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                                                                                                  </w:t>
      </w:r>
      <w:r w:rsidR="00847063" w:rsidRPr="00847063">
        <w:rPr>
          <w:rFonts w:ascii="Times New Roman" w:hAnsi="Times New Roman" w:cs="Times New Roman"/>
          <w:i/>
          <w:sz w:val="20"/>
          <w:szCs w:val="20"/>
          <w:lang w:val="en-GB"/>
        </w:rPr>
        <w:t>February 2019 -</w:t>
      </w:r>
      <w:r w:rsidR="0084706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:rsidR="00847063" w:rsidRDefault="00847063" w:rsidP="00CF4C3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Lecturer at </w:t>
      </w:r>
      <w:r w:rsidR="00084463">
        <w:rPr>
          <w:rFonts w:ascii="Times New Roman" w:hAnsi="Times New Roman" w:cs="Times New Roman"/>
          <w:sz w:val="20"/>
          <w:szCs w:val="20"/>
          <w:lang w:val="en-GB"/>
        </w:rPr>
        <w:t xml:space="preserve">intro to </w:t>
      </w:r>
      <w:r>
        <w:rPr>
          <w:rFonts w:ascii="Times New Roman" w:hAnsi="Times New Roman" w:cs="Times New Roman"/>
          <w:sz w:val="20"/>
          <w:szCs w:val="20"/>
          <w:lang w:val="en-GB"/>
        </w:rPr>
        <w:t>macroeconomics</w:t>
      </w:r>
      <w:r w:rsidR="00084463">
        <w:rPr>
          <w:rFonts w:ascii="Times New Roman" w:hAnsi="Times New Roman" w:cs="Times New Roman"/>
          <w:sz w:val="20"/>
          <w:szCs w:val="20"/>
          <w:lang w:val="en-GB"/>
        </w:rPr>
        <w:t xml:space="preserve"> and intro to microeconomics</w:t>
      </w:r>
    </w:p>
    <w:p w:rsidR="00E8144A" w:rsidRPr="00EF0AA2" w:rsidRDefault="00E8144A" w:rsidP="00CF4C3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EF0AA2">
        <w:rPr>
          <w:rFonts w:ascii="Times New Roman" w:hAnsi="Times New Roman" w:cs="Times New Roman"/>
          <w:sz w:val="20"/>
          <w:szCs w:val="20"/>
          <w:lang w:val="en-GB"/>
        </w:rPr>
        <w:t>N</w:t>
      </w:r>
      <w:r w:rsidRPr="00EF0AA2">
        <w:rPr>
          <w:rFonts w:ascii="Times New Roman" w:hAnsi="Times New Roman" w:cs="Times New Roman"/>
          <w:b/>
          <w:sz w:val="20"/>
          <w:szCs w:val="20"/>
          <w:lang w:val="en-GB"/>
        </w:rPr>
        <w:t xml:space="preserve">ational Bank of the Republic of Macedonia                                                                         </w:t>
      </w:r>
      <w:r w:rsidR="00EF0AA2" w:rsidRPr="00EF0AA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4A60B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                            </w:t>
      </w:r>
      <w:r w:rsidR="00EF0AA2" w:rsidRPr="00EF0AA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EF0AA2">
        <w:rPr>
          <w:rFonts w:ascii="Times New Roman" w:hAnsi="Times New Roman" w:cs="Times New Roman"/>
          <w:i/>
          <w:sz w:val="20"/>
          <w:szCs w:val="20"/>
          <w:lang w:val="en-GB"/>
        </w:rPr>
        <w:t xml:space="preserve">July 2011 – </w:t>
      </w:r>
      <w:r w:rsidR="004A60B2">
        <w:rPr>
          <w:rFonts w:ascii="Times New Roman" w:hAnsi="Times New Roman" w:cs="Times New Roman"/>
          <w:i/>
          <w:sz w:val="20"/>
          <w:szCs w:val="20"/>
          <w:lang w:val="en-GB"/>
        </w:rPr>
        <w:t>July 2018</w:t>
      </w:r>
    </w:p>
    <w:p w:rsidR="00E8144A" w:rsidRPr="00EF0AA2" w:rsidRDefault="00E8144A" w:rsidP="00EF0AA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F0AA2">
        <w:rPr>
          <w:rFonts w:ascii="Times New Roman" w:hAnsi="Times New Roman" w:cs="Times New Roman"/>
          <w:b/>
          <w:sz w:val="20"/>
          <w:szCs w:val="20"/>
          <w:lang w:val="en-GB"/>
        </w:rPr>
        <w:t xml:space="preserve">Vice Governor and Executive member of the Board </w:t>
      </w:r>
      <w:r w:rsidRPr="00EF0AA2">
        <w:rPr>
          <w:rFonts w:ascii="Times New Roman" w:hAnsi="Times New Roman" w:cs="Times New Roman"/>
          <w:sz w:val="20"/>
          <w:szCs w:val="20"/>
          <w:lang w:val="en-GB"/>
        </w:rPr>
        <w:t>of National bank of the Republic of Macedonia</w:t>
      </w:r>
      <w:r w:rsidR="00970EA2" w:rsidRPr="00EF0AA2">
        <w:rPr>
          <w:rFonts w:ascii="Times New Roman" w:hAnsi="Times New Roman" w:cs="Times New Roman"/>
          <w:sz w:val="20"/>
          <w:szCs w:val="20"/>
          <w:lang w:val="en-GB"/>
        </w:rPr>
        <w:t>, r</w:t>
      </w:r>
      <w:r w:rsidRPr="00EF0AA2">
        <w:rPr>
          <w:rFonts w:ascii="Times New Roman" w:hAnsi="Times New Roman" w:cs="Times New Roman"/>
          <w:sz w:val="20"/>
          <w:szCs w:val="20"/>
          <w:lang w:val="en-GB"/>
        </w:rPr>
        <w:t>esponsible for Sector of Financial Market Operations and Payment Systems</w:t>
      </w:r>
    </w:p>
    <w:p w:rsidR="00EF0AA2" w:rsidRPr="00EF0AA2" w:rsidRDefault="00E8144A" w:rsidP="00EF0AA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F0AA2">
        <w:rPr>
          <w:rFonts w:ascii="Times New Roman" w:hAnsi="Times New Roman" w:cs="Times New Roman"/>
          <w:b/>
          <w:sz w:val="20"/>
          <w:szCs w:val="20"/>
          <w:lang w:val="en-GB"/>
        </w:rPr>
        <w:t>Chairman of the Foreign Reserves Investment Committee</w:t>
      </w:r>
    </w:p>
    <w:p w:rsidR="00CF4C32" w:rsidRDefault="00E8144A" w:rsidP="00EF0AA2">
      <w:pPr>
        <w:pStyle w:val="ListParagraph"/>
        <w:numPr>
          <w:ilvl w:val="0"/>
          <w:numId w:val="16"/>
        </w:numPr>
        <w:tabs>
          <w:tab w:val="left" w:pos="180"/>
        </w:tabs>
        <w:jc w:val="both"/>
        <w:rPr>
          <w:b/>
          <w:sz w:val="20"/>
          <w:szCs w:val="20"/>
          <w:lang w:val="en-GB"/>
        </w:rPr>
      </w:pPr>
      <w:r w:rsidRPr="00EF0AA2">
        <w:rPr>
          <w:sz w:val="20"/>
          <w:szCs w:val="20"/>
          <w:lang w:val="en-GB"/>
        </w:rPr>
        <w:t>Responsible for strategic</w:t>
      </w:r>
      <w:r w:rsidR="00CF4C32" w:rsidRPr="00EF0AA2">
        <w:rPr>
          <w:sz w:val="20"/>
          <w:szCs w:val="20"/>
          <w:lang w:val="en-GB"/>
        </w:rPr>
        <w:t xml:space="preserve"> </w:t>
      </w:r>
      <w:r w:rsidR="00967B67" w:rsidRPr="00EF0AA2">
        <w:rPr>
          <w:sz w:val="20"/>
          <w:szCs w:val="20"/>
          <w:lang w:val="en-GB"/>
        </w:rPr>
        <w:t>assets</w:t>
      </w:r>
      <w:r w:rsidR="00CF4C32" w:rsidRPr="00EF0AA2">
        <w:rPr>
          <w:sz w:val="20"/>
          <w:szCs w:val="20"/>
          <w:lang w:val="en-GB"/>
        </w:rPr>
        <w:t xml:space="preserve"> </w:t>
      </w:r>
      <w:r w:rsidRPr="00EF0AA2">
        <w:rPr>
          <w:sz w:val="20"/>
          <w:szCs w:val="20"/>
          <w:lang w:val="en-GB"/>
        </w:rPr>
        <w:t>allocation</w:t>
      </w:r>
      <w:r w:rsidR="00CF4C32" w:rsidRPr="00EF0AA2">
        <w:rPr>
          <w:sz w:val="20"/>
          <w:szCs w:val="20"/>
          <w:lang w:val="en-GB"/>
        </w:rPr>
        <w:t>,</w:t>
      </w:r>
      <w:r w:rsidR="00D67C5B" w:rsidRPr="00EF0AA2">
        <w:rPr>
          <w:sz w:val="20"/>
          <w:szCs w:val="20"/>
          <w:lang w:val="en-GB"/>
        </w:rPr>
        <w:t xml:space="preserve"> </w:t>
      </w:r>
      <w:r w:rsidRPr="00EF0AA2">
        <w:rPr>
          <w:sz w:val="20"/>
          <w:szCs w:val="20"/>
          <w:lang w:val="en-GB"/>
        </w:rPr>
        <w:t xml:space="preserve">for </w:t>
      </w:r>
      <w:r w:rsidR="00970EA2" w:rsidRPr="00EF0AA2">
        <w:rPr>
          <w:sz w:val="20"/>
          <w:szCs w:val="20"/>
          <w:lang w:val="en-GB"/>
        </w:rPr>
        <w:t>tactical positioning</w:t>
      </w:r>
      <w:r w:rsidR="00EF0AA2" w:rsidRPr="00EF0AA2">
        <w:rPr>
          <w:sz w:val="20"/>
          <w:szCs w:val="20"/>
          <w:lang w:val="en-GB"/>
        </w:rPr>
        <w:t xml:space="preserve">, </w:t>
      </w:r>
      <w:r w:rsidRPr="00EF0AA2">
        <w:rPr>
          <w:sz w:val="20"/>
          <w:szCs w:val="20"/>
          <w:lang w:val="en-GB"/>
        </w:rPr>
        <w:t xml:space="preserve">implementation and compliance </w:t>
      </w:r>
      <w:r w:rsidR="00CF4C32" w:rsidRPr="00EF0AA2">
        <w:rPr>
          <w:sz w:val="20"/>
          <w:szCs w:val="20"/>
          <w:lang w:val="en-GB"/>
        </w:rPr>
        <w:t xml:space="preserve">monitoring </w:t>
      </w:r>
    </w:p>
    <w:p w:rsidR="00161B19" w:rsidRPr="00161B19" w:rsidRDefault="00161B19" w:rsidP="00EF0AA2">
      <w:pPr>
        <w:pStyle w:val="ListParagraph"/>
        <w:numPr>
          <w:ilvl w:val="0"/>
          <w:numId w:val="16"/>
        </w:numPr>
        <w:tabs>
          <w:tab w:val="left" w:pos="180"/>
        </w:tabs>
        <w:jc w:val="both"/>
        <w:rPr>
          <w:sz w:val="20"/>
          <w:szCs w:val="20"/>
          <w:lang w:val="en-GB"/>
        </w:rPr>
      </w:pPr>
      <w:r w:rsidRPr="00161B19">
        <w:rPr>
          <w:sz w:val="20"/>
          <w:szCs w:val="20"/>
          <w:lang w:val="en-GB"/>
        </w:rPr>
        <w:t xml:space="preserve">Responsible for reporting to the Governor </w:t>
      </w:r>
      <w:r w:rsidR="00F41BC2">
        <w:rPr>
          <w:sz w:val="20"/>
          <w:szCs w:val="20"/>
          <w:lang w:val="en-GB"/>
        </w:rPr>
        <w:t xml:space="preserve">for </w:t>
      </w:r>
      <w:r w:rsidRPr="00161B19">
        <w:rPr>
          <w:sz w:val="20"/>
          <w:szCs w:val="20"/>
          <w:lang w:val="en-GB"/>
        </w:rPr>
        <w:t>development</w:t>
      </w:r>
      <w:r w:rsidR="00F41BC2">
        <w:rPr>
          <w:sz w:val="20"/>
          <w:szCs w:val="20"/>
          <w:lang w:val="en-GB"/>
        </w:rPr>
        <w:t>s</w:t>
      </w:r>
      <w:r w:rsidRPr="00161B19">
        <w:rPr>
          <w:sz w:val="20"/>
          <w:szCs w:val="20"/>
          <w:lang w:val="en-GB"/>
        </w:rPr>
        <w:t xml:space="preserve"> in the global economy with focus on Europe, US and Asia</w:t>
      </w:r>
    </w:p>
    <w:p w:rsidR="00EF0AA2" w:rsidRPr="00EF0AA2" w:rsidRDefault="00E8144A" w:rsidP="00EF0AA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F0AA2">
        <w:rPr>
          <w:rFonts w:ascii="Times New Roman" w:hAnsi="Times New Roman" w:cs="Times New Roman"/>
          <w:b/>
          <w:sz w:val="20"/>
          <w:szCs w:val="20"/>
          <w:lang w:val="en-GB"/>
        </w:rPr>
        <w:t>Chairman of the Assets and Liabilities Management Committee</w:t>
      </w:r>
    </w:p>
    <w:p w:rsidR="00E8144A" w:rsidRPr="00EF0AA2" w:rsidRDefault="00E8144A" w:rsidP="00EF0AA2">
      <w:pPr>
        <w:pStyle w:val="ListParagraph"/>
        <w:numPr>
          <w:ilvl w:val="0"/>
          <w:numId w:val="16"/>
        </w:numPr>
        <w:tabs>
          <w:tab w:val="left" w:pos="180"/>
        </w:tabs>
        <w:jc w:val="both"/>
        <w:rPr>
          <w:sz w:val="20"/>
          <w:szCs w:val="20"/>
          <w:lang w:val="en-GB"/>
        </w:rPr>
      </w:pPr>
      <w:r w:rsidRPr="00EF0AA2">
        <w:rPr>
          <w:sz w:val="20"/>
          <w:szCs w:val="20"/>
          <w:lang w:val="en-GB"/>
        </w:rPr>
        <w:t xml:space="preserve">Responsible for </w:t>
      </w:r>
      <w:r w:rsidR="00970EA2" w:rsidRPr="00EF0AA2">
        <w:rPr>
          <w:sz w:val="20"/>
          <w:szCs w:val="20"/>
          <w:lang w:val="en-GB"/>
        </w:rPr>
        <w:t xml:space="preserve">preparation </w:t>
      </w:r>
      <w:r w:rsidRPr="00EF0AA2">
        <w:rPr>
          <w:sz w:val="20"/>
          <w:szCs w:val="20"/>
          <w:lang w:val="en-GB"/>
        </w:rPr>
        <w:t xml:space="preserve">and </w:t>
      </w:r>
      <w:r w:rsidR="00970EA2" w:rsidRPr="00EF0AA2">
        <w:rPr>
          <w:sz w:val="20"/>
          <w:szCs w:val="20"/>
          <w:lang w:val="en-GB"/>
        </w:rPr>
        <w:t>subm</w:t>
      </w:r>
      <w:bookmarkStart w:id="0" w:name="_GoBack"/>
      <w:bookmarkEnd w:id="0"/>
      <w:r w:rsidR="00970EA2" w:rsidRPr="00EF0AA2">
        <w:rPr>
          <w:sz w:val="20"/>
          <w:szCs w:val="20"/>
          <w:lang w:val="en-GB"/>
        </w:rPr>
        <w:t>ission of</w:t>
      </w:r>
      <w:r w:rsidRPr="00EF0AA2">
        <w:rPr>
          <w:sz w:val="20"/>
          <w:szCs w:val="20"/>
          <w:lang w:val="en-GB"/>
        </w:rPr>
        <w:t xml:space="preserve"> the Financial Plan </w:t>
      </w:r>
      <w:r w:rsidR="00970EA2" w:rsidRPr="00EF0AA2">
        <w:rPr>
          <w:sz w:val="20"/>
          <w:szCs w:val="20"/>
          <w:lang w:val="en-GB"/>
        </w:rPr>
        <w:t xml:space="preserve">and Investment Plan </w:t>
      </w:r>
      <w:r w:rsidRPr="00EF0AA2">
        <w:rPr>
          <w:sz w:val="20"/>
          <w:szCs w:val="20"/>
          <w:lang w:val="en-GB"/>
        </w:rPr>
        <w:t>to NBRM Board</w:t>
      </w:r>
      <w:r w:rsidR="00D67C5B" w:rsidRPr="00EF0AA2">
        <w:rPr>
          <w:sz w:val="20"/>
          <w:szCs w:val="20"/>
          <w:lang w:val="en-GB"/>
        </w:rPr>
        <w:t xml:space="preserve"> and </w:t>
      </w:r>
      <w:r w:rsidR="00EF0AA2" w:rsidRPr="00EF0AA2">
        <w:rPr>
          <w:sz w:val="20"/>
          <w:szCs w:val="20"/>
          <w:lang w:val="en-GB"/>
        </w:rPr>
        <w:t>their execution</w:t>
      </w:r>
      <w:r w:rsidRPr="00EF0AA2">
        <w:rPr>
          <w:sz w:val="20"/>
          <w:szCs w:val="20"/>
          <w:lang w:val="en-GB"/>
        </w:rPr>
        <w:t xml:space="preserve"> monitoring</w:t>
      </w:r>
      <w:r w:rsidR="00970EA2" w:rsidRPr="00EF0AA2">
        <w:rPr>
          <w:sz w:val="20"/>
          <w:szCs w:val="20"/>
          <w:lang w:val="en-GB"/>
        </w:rPr>
        <w:t xml:space="preserve"> </w:t>
      </w:r>
    </w:p>
    <w:p w:rsidR="00EF0AA2" w:rsidRPr="00EF0AA2" w:rsidRDefault="00E8144A" w:rsidP="00EF0AA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F0AA2">
        <w:rPr>
          <w:rFonts w:ascii="Times New Roman" w:hAnsi="Times New Roman" w:cs="Times New Roman"/>
          <w:b/>
          <w:sz w:val="20"/>
          <w:szCs w:val="20"/>
          <w:lang w:val="en-GB"/>
        </w:rPr>
        <w:t>Member of the Monetary Policy Committee</w:t>
      </w:r>
    </w:p>
    <w:p w:rsidR="00CF4C32" w:rsidRPr="00EF0AA2" w:rsidRDefault="00E8144A" w:rsidP="00EF0AA2">
      <w:pPr>
        <w:pStyle w:val="ListParagraph"/>
        <w:numPr>
          <w:ilvl w:val="0"/>
          <w:numId w:val="16"/>
        </w:numPr>
        <w:tabs>
          <w:tab w:val="left" w:pos="180"/>
        </w:tabs>
        <w:jc w:val="both"/>
        <w:rPr>
          <w:sz w:val="20"/>
          <w:szCs w:val="20"/>
          <w:lang w:val="en-GB"/>
        </w:rPr>
      </w:pPr>
      <w:r w:rsidRPr="00EF0AA2">
        <w:rPr>
          <w:sz w:val="20"/>
          <w:szCs w:val="20"/>
          <w:lang w:val="en-GB"/>
        </w:rPr>
        <w:t>Responsible for monetary policy operations</w:t>
      </w:r>
      <w:r w:rsidR="00970EA2" w:rsidRPr="00EF0AA2">
        <w:rPr>
          <w:sz w:val="20"/>
          <w:szCs w:val="20"/>
          <w:lang w:val="en-GB"/>
        </w:rPr>
        <w:t xml:space="preserve">, </w:t>
      </w:r>
      <w:r w:rsidRPr="00EF0AA2">
        <w:rPr>
          <w:sz w:val="20"/>
          <w:szCs w:val="20"/>
          <w:lang w:val="en-GB"/>
        </w:rPr>
        <w:t xml:space="preserve">changes in </w:t>
      </w:r>
      <w:r w:rsidR="00D67C5B" w:rsidRPr="00EF0AA2">
        <w:rPr>
          <w:sz w:val="20"/>
          <w:szCs w:val="20"/>
          <w:lang w:val="en-GB"/>
        </w:rPr>
        <w:t>the monetary instruments</w:t>
      </w:r>
      <w:r w:rsidR="00970EA2" w:rsidRPr="00EF0AA2">
        <w:rPr>
          <w:sz w:val="20"/>
          <w:szCs w:val="20"/>
          <w:lang w:val="en-GB"/>
        </w:rPr>
        <w:t xml:space="preserve"> setup</w:t>
      </w:r>
      <w:r w:rsidR="00D67C5B" w:rsidRPr="00EF0AA2">
        <w:rPr>
          <w:sz w:val="20"/>
          <w:szCs w:val="20"/>
          <w:lang w:val="en-GB"/>
        </w:rPr>
        <w:t xml:space="preserve">, </w:t>
      </w:r>
      <w:r w:rsidR="00CF4C32" w:rsidRPr="00EF0AA2">
        <w:rPr>
          <w:sz w:val="20"/>
          <w:szCs w:val="20"/>
          <w:lang w:val="en-GB"/>
        </w:rPr>
        <w:t xml:space="preserve">for banks’ liquidity forecasts and </w:t>
      </w:r>
      <w:r w:rsidRPr="00EF0AA2">
        <w:rPr>
          <w:sz w:val="20"/>
          <w:szCs w:val="20"/>
          <w:lang w:val="en-GB"/>
        </w:rPr>
        <w:t>for providing the analysis of the external and domestic economic developments</w:t>
      </w:r>
      <w:r w:rsidR="00D67C5B" w:rsidRPr="00EF0AA2">
        <w:rPr>
          <w:sz w:val="20"/>
          <w:szCs w:val="20"/>
          <w:lang w:val="en-GB"/>
        </w:rPr>
        <w:t xml:space="preserve"> </w:t>
      </w:r>
      <w:r w:rsidR="00970EA2" w:rsidRPr="00EF0AA2">
        <w:rPr>
          <w:sz w:val="20"/>
          <w:szCs w:val="20"/>
          <w:lang w:val="en-GB"/>
        </w:rPr>
        <w:t xml:space="preserve">to MPC </w:t>
      </w:r>
    </w:p>
    <w:p w:rsidR="00E8144A" w:rsidRPr="00EF0AA2" w:rsidRDefault="00E8144A" w:rsidP="00EF0AA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F0AA2">
        <w:rPr>
          <w:rFonts w:ascii="Times New Roman" w:hAnsi="Times New Roman" w:cs="Times New Roman"/>
          <w:b/>
          <w:sz w:val="20"/>
          <w:szCs w:val="20"/>
          <w:lang w:val="en-GB"/>
        </w:rPr>
        <w:t>Important projects</w:t>
      </w:r>
      <w:r w:rsidR="004A2DA9" w:rsidRPr="00EF0AA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under management and supervision</w:t>
      </w:r>
      <w:r w:rsidRPr="00EF0AA2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</w:p>
    <w:p w:rsidR="00E8144A" w:rsidRPr="00EF0AA2" w:rsidRDefault="00E8144A" w:rsidP="00EF0AA2">
      <w:pPr>
        <w:pStyle w:val="ListParagraph"/>
        <w:numPr>
          <w:ilvl w:val="0"/>
          <w:numId w:val="4"/>
        </w:numPr>
        <w:tabs>
          <w:tab w:val="left" w:pos="180"/>
        </w:tabs>
        <w:jc w:val="both"/>
        <w:rPr>
          <w:sz w:val="20"/>
          <w:szCs w:val="20"/>
          <w:lang w:val="en-GB"/>
        </w:rPr>
      </w:pPr>
      <w:r w:rsidRPr="00EF0AA2">
        <w:rPr>
          <w:sz w:val="20"/>
          <w:szCs w:val="20"/>
          <w:lang w:val="en-GB"/>
        </w:rPr>
        <w:t xml:space="preserve">Development of new </w:t>
      </w:r>
      <w:r w:rsidR="004A2DA9" w:rsidRPr="00EF0AA2">
        <w:rPr>
          <w:sz w:val="20"/>
          <w:szCs w:val="20"/>
          <w:lang w:val="en-GB"/>
        </w:rPr>
        <w:t>efficient</w:t>
      </w:r>
      <w:r w:rsidR="00970EA2" w:rsidRPr="00EF0AA2">
        <w:rPr>
          <w:sz w:val="20"/>
          <w:szCs w:val="20"/>
          <w:lang w:val="en-GB"/>
        </w:rPr>
        <w:t xml:space="preserve"> </w:t>
      </w:r>
      <w:r w:rsidRPr="00EF0AA2">
        <w:rPr>
          <w:sz w:val="20"/>
          <w:szCs w:val="20"/>
          <w:lang w:val="en-GB"/>
        </w:rPr>
        <w:t xml:space="preserve">operational </w:t>
      </w:r>
      <w:r w:rsidR="00D67C5B" w:rsidRPr="00EF0AA2">
        <w:rPr>
          <w:sz w:val="20"/>
          <w:szCs w:val="20"/>
          <w:lang w:val="en-GB"/>
        </w:rPr>
        <w:t>monetary policy framework</w:t>
      </w:r>
      <w:r w:rsidRPr="00EF0AA2">
        <w:rPr>
          <w:sz w:val="20"/>
          <w:szCs w:val="20"/>
          <w:lang w:val="en-GB"/>
        </w:rPr>
        <w:t xml:space="preserve"> and </w:t>
      </w:r>
      <w:r w:rsidR="00EF0AA2" w:rsidRPr="00EF0AA2">
        <w:rPr>
          <w:sz w:val="20"/>
          <w:szCs w:val="20"/>
          <w:lang w:val="en-GB"/>
        </w:rPr>
        <w:t xml:space="preserve">for </w:t>
      </w:r>
      <w:r w:rsidR="00D67C5B" w:rsidRPr="00EF0AA2">
        <w:rPr>
          <w:sz w:val="20"/>
          <w:szCs w:val="20"/>
          <w:lang w:val="en-GB"/>
        </w:rPr>
        <w:t>S</w:t>
      </w:r>
      <w:r w:rsidRPr="00EF0AA2">
        <w:rPr>
          <w:sz w:val="20"/>
          <w:szCs w:val="20"/>
          <w:lang w:val="en-GB"/>
        </w:rPr>
        <w:t xml:space="preserve">trategy </w:t>
      </w:r>
      <w:r w:rsidR="00EF0AA2" w:rsidRPr="00EF0AA2">
        <w:rPr>
          <w:sz w:val="20"/>
          <w:szCs w:val="20"/>
          <w:lang w:val="en-GB"/>
        </w:rPr>
        <w:t>of</w:t>
      </w:r>
      <w:r w:rsidRPr="00EF0AA2">
        <w:rPr>
          <w:sz w:val="20"/>
          <w:szCs w:val="20"/>
          <w:lang w:val="en-GB"/>
        </w:rPr>
        <w:t xml:space="preserve"> De-</w:t>
      </w:r>
      <w:proofErr w:type="spellStart"/>
      <w:r w:rsidRPr="00EF0AA2">
        <w:rPr>
          <w:sz w:val="20"/>
          <w:szCs w:val="20"/>
          <w:lang w:val="en-GB"/>
        </w:rPr>
        <w:t>Euroization</w:t>
      </w:r>
      <w:proofErr w:type="spellEnd"/>
      <w:r w:rsidRPr="00EF0AA2">
        <w:rPr>
          <w:sz w:val="20"/>
          <w:szCs w:val="20"/>
          <w:lang w:val="en-GB"/>
        </w:rPr>
        <w:t xml:space="preserve"> of the Macedonian economy</w:t>
      </w:r>
    </w:p>
    <w:p w:rsidR="00E8144A" w:rsidRPr="00EF0AA2" w:rsidRDefault="00E8144A" w:rsidP="00EF0AA2">
      <w:pPr>
        <w:pStyle w:val="ListParagraph"/>
        <w:numPr>
          <w:ilvl w:val="0"/>
          <w:numId w:val="4"/>
        </w:numPr>
        <w:tabs>
          <w:tab w:val="left" w:pos="180"/>
        </w:tabs>
        <w:jc w:val="both"/>
        <w:rPr>
          <w:sz w:val="20"/>
          <w:szCs w:val="20"/>
          <w:lang w:val="en-GB"/>
        </w:rPr>
      </w:pPr>
      <w:r w:rsidRPr="00EF0AA2">
        <w:rPr>
          <w:sz w:val="20"/>
          <w:szCs w:val="20"/>
          <w:lang w:val="en-GB"/>
        </w:rPr>
        <w:t>Engagement in the World Bank Reserve Advisory and Management Program – RAMP that allowed implementation of best practices and institutional capacity building in all aspects of foreign reserves management</w:t>
      </w:r>
    </w:p>
    <w:p w:rsidR="00CF4C32" w:rsidRPr="00EF0AA2" w:rsidRDefault="00E8144A" w:rsidP="00EF0AA2">
      <w:pPr>
        <w:pStyle w:val="ListParagraph"/>
        <w:numPr>
          <w:ilvl w:val="0"/>
          <w:numId w:val="4"/>
        </w:numPr>
        <w:tabs>
          <w:tab w:val="left" w:pos="180"/>
        </w:tabs>
        <w:jc w:val="both"/>
        <w:rPr>
          <w:sz w:val="20"/>
          <w:szCs w:val="20"/>
          <w:lang w:val="en-GB"/>
        </w:rPr>
      </w:pPr>
      <w:r w:rsidRPr="00EF0AA2">
        <w:rPr>
          <w:sz w:val="20"/>
          <w:szCs w:val="20"/>
          <w:lang w:val="en-GB"/>
        </w:rPr>
        <w:t>Upgrade of the Macedonian Interbank Payment System (MIPS-RTGS system) for payment in Euros via ECB TARGET 2 system</w:t>
      </w:r>
      <w:r w:rsidR="004A2DA9" w:rsidRPr="00EF0AA2">
        <w:rPr>
          <w:sz w:val="20"/>
          <w:szCs w:val="20"/>
          <w:lang w:val="en-GB"/>
        </w:rPr>
        <w:t xml:space="preserve"> and e</w:t>
      </w:r>
      <w:r w:rsidR="00EF0AA2" w:rsidRPr="00EF0AA2">
        <w:rPr>
          <w:sz w:val="20"/>
          <w:szCs w:val="20"/>
          <w:lang w:val="en-GB"/>
        </w:rPr>
        <w:t xml:space="preserve"> -</w:t>
      </w:r>
      <w:r w:rsidRPr="00EF0AA2">
        <w:rPr>
          <w:sz w:val="20"/>
          <w:szCs w:val="20"/>
          <w:lang w:val="en-GB"/>
        </w:rPr>
        <w:t xml:space="preserve">banking for </w:t>
      </w:r>
      <w:r w:rsidR="00CF4C32" w:rsidRPr="00EF0AA2">
        <w:rPr>
          <w:sz w:val="20"/>
          <w:szCs w:val="20"/>
          <w:lang w:val="en-GB"/>
        </w:rPr>
        <w:t xml:space="preserve">execution of government </w:t>
      </w:r>
      <w:r w:rsidRPr="00EF0AA2">
        <w:rPr>
          <w:sz w:val="20"/>
          <w:szCs w:val="20"/>
          <w:lang w:val="en-GB"/>
        </w:rPr>
        <w:t xml:space="preserve">international payment operations </w:t>
      </w:r>
    </w:p>
    <w:p w:rsidR="00E8144A" w:rsidRPr="00EF0AA2" w:rsidRDefault="00CF4C32" w:rsidP="00EF0AA2">
      <w:pPr>
        <w:pStyle w:val="ListParagraph"/>
        <w:numPr>
          <w:ilvl w:val="0"/>
          <w:numId w:val="4"/>
        </w:numPr>
        <w:tabs>
          <w:tab w:val="left" w:pos="180"/>
        </w:tabs>
        <w:jc w:val="both"/>
        <w:rPr>
          <w:sz w:val="20"/>
          <w:szCs w:val="20"/>
          <w:lang w:val="en-GB"/>
        </w:rPr>
      </w:pPr>
      <w:r w:rsidRPr="00EF0AA2">
        <w:rPr>
          <w:sz w:val="20"/>
          <w:szCs w:val="20"/>
          <w:lang w:val="en-GB"/>
        </w:rPr>
        <w:t xml:space="preserve">Preparation of the </w:t>
      </w:r>
      <w:r w:rsidR="00E8144A" w:rsidRPr="00EF0AA2">
        <w:rPr>
          <w:sz w:val="20"/>
          <w:szCs w:val="20"/>
          <w:lang w:val="en-GB"/>
        </w:rPr>
        <w:t>Strategy for reducing cash payments in the Republic of Macedonia</w:t>
      </w:r>
    </w:p>
    <w:p w:rsidR="004A2DA9" w:rsidRPr="00EF0AA2" w:rsidRDefault="004A2DA9" w:rsidP="00EF0AA2">
      <w:pPr>
        <w:pStyle w:val="ListParagraph"/>
        <w:numPr>
          <w:ilvl w:val="0"/>
          <w:numId w:val="4"/>
        </w:numPr>
        <w:tabs>
          <w:tab w:val="left" w:pos="180"/>
        </w:tabs>
        <w:jc w:val="both"/>
        <w:rPr>
          <w:sz w:val="20"/>
          <w:szCs w:val="20"/>
          <w:lang w:val="en-GB"/>
        </w:rPr>
      </w:pPr>
      <w:r w:rsidRPr="00EF0AA2">
        <w:rPr>
          <w:sz w:val="20"/>
          <w:szCs w:val="20"/>
          <w:lang w:val="en-GB"/>
        </w:rPr>
        <w:t xml:space="preserve">Preparation of a </w:t>
      </w:r>
      <w:r w:rsidR="00E8144A" w:rsidRPr="00EF0AA2">
        <w:rPr>
          <w:sz w:val="20"/>
          <w:szCs w:val="20"/>
          <w:lang w:val="en-GB"/>
        </w:rPr>
        <w:t xml:space="preserve">New Law on payment services and systems implementing PSD and some articles of PSD2, E-money 2 and Settlement Finality Directive </w:t>
      </w:r>
    </w:p>
    <w:p w:rsidR="00CF4C32" w:rsidRPr="00EF0AA2" w:rsidRDefault="00CF4C32" w:rsidP="00CF4C32">
      <w:pPr>
        <w:pStyle w:val="ListParagraph"/>
        <w:numPr>
          <w:ilvl w:val="0"/>
          <w:numId w:val="4"/>
        </w:numPr>
        <w:tabs>
          <w:tab w:val="left" w:pos="180"/>
        </w:tabs>
        <w:jc w:val="both"/>
        <w:rPr>
          <w:sz w:val="20"/>
          <w:szCs w:val="20"/>
          <w:lang w:val="en-GB"/>
        </w:rPr>
      </w:pPr>
      <w:r w:rsidRPr="00EF0AA2">
        <w:rPr>
          <w:sz w:val="20"/>
          <w:szCs w:val="20"/>
          <w:lang w:val="en-GB"/>
        </w:rPr>
        <w:t>Organization of the a</w:t>
      </w:r>
      <w:r w:rsidR="00E8144A" w:rsidRPr="00EF0AA2">
        <w:rPr>
          <w:sz w:val="20"/>
          <w:szCs w:val="20"/>
          <w:lang w:val="en-GB"/>
        </w:rPr>
        <w:t xml:space="preserve">nnual conferences on payments and market infrastructures </w:t>
      </w:r>
      <w:r w:rsidR="00D67C5B" w:rsidRPr="00EF0AA2">
        <w:rPr>
          <w:sz w:val="20"/>
          <w:szCs w:val="20"/>
          <w:lang w:val="en-GB"/>
        </w:rPr>
        <w:t>and h</w:t>
      </w:r>
      <w:r w:rsidR="00E8144A" w:rsidRPr="00EF0AA2">
        <w:rPr>
          <w:sz w:val="20"/>
          <w:szCs w:val="20"/>
          <w:lang w:val="en-GB"/>
        </w:rPr>
        <w:t>igh-level Conference on Monetary Policy and Asset Management</w:t>
      </w:r>
    </w:p>
    <w:p w:rsidR="00EF0AA2" w:rsidRPr="00EF0AA2" w:rsidRDefault="00EF0AA2" w:rsidP="00847063">
      <w:pPr>
        <w:pStyle w:val="ListParagraph"/>
        <w:tabs>
          <w:tab w:val="left" w:pos="180"/>
        </w:tabs>
        <w:jc w:val="both"/>
        <w:rPr>
          <w:sz w:val="20"/>
          <w:szCs w:val="20"/>
          <w:lang w:val="en-GB"/>
        </w:rPr>
      </w:pPr>
    </w:p>
    <w:p w:rsidR="00D67C5B" w:rsidRPr="00EF0AA2" w:rsidRDefault="00D67C5B" w:rsidP="00CF4C3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EF0AA2">
        <w:rPr>
          <w:rFonts w:ascii="Times New Roman" w:hAnsi="Times New Roman" w:cs="Times New Roman"/>
          <w:sz w:val="20"/>
          <w:szCs w:val="20"/>
          <w:lang w:val="en-GB"/>
        </w:rPr>
        <w:t>N</w:t>
      </w:r>
      <w:r w:rsidRPr="00EF0AA2">
        <w:rPr>
          <w:rFonts w:ascii="Times New Roman" w:hAnsi="Times New Roman" w:cs="Times New Roman"/>
          <w:b/>
          <w:sz w:val="20"/>
          <w:szCs w:val="20"/>
          <w:lang w:val="en-GB"/>
        </w:rPr>
        <w:t xml:space="preserve">ational Bank of the Republic of Macedonia                                                                   </w:t>
      </w:r>
      <w:r w:rsidR="00EF0AA2" w:rsidRPr="00EF0AA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                           </w:t>
      </w:r>
      <w:r w:rsidRPr="00EF0AA2">
        <w:rPr>
          <w:rFonts w:ascii="Times New Roman" w:hAnsi="Times New Roman" w:cs="Times New Roman"/>
          <w:i/>
          <w:sz w:val="20"/>
          <w:szCs w:val="20"/>
          <w:lang w:val="en-GB"/>
        </w:rPr>
        <w:t>February 2003 – July 2011</w:t>
      </w:r>
    </w:p>
    <w:p w:rsidR="00E8144A" w:rsidRPr="00EF0AA2" w:rsidRDefault="00D67C5B" w:rsidP="00CF4C3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F0AA2">
        <w:rPr>
          <w:rFonts w:ascii="Times New Roman" w:hAnsi="Times New Roman" w:cs="Times New Roman"/>
          <w:b/>
          <w:sz w:val="20"/>
          <w:szCs w:val="20"/>
          <w:lang w:val="en-GB"/>
        </w:rPr>
        <w:t>Advisor- Analyst in Monetary Policy and Research Department</w:t>
      </w:r>
      <w:r w:rsidRPr="00EF0AA2">
        <w:rPr>
          <w:rFonts w:ascii="Times New Roman" w:hAnsi="Times New Roman" w:cs="Times New Roman"/>
          <w:sz w:val="20"/>
          <w:szCs w:val="20"/>
          <w:lang w:val="en-GB"/>
        </w:rPr>
        <w:t>, the External Sector Developments Unit:</w:t>
      </w:r>
    </w:p>
    <w:p w:rsidR="00970EA2" w:rsidRPr="00EF0AA2" w:rsidRDefault="00D67C5B" w:rsidP="00CF4C32">
      <w:pPr>
        <w:pStyle w:val="OiaeaeiYiio2"/>
        <w:numPr>
          <w:ilvl w:val="0"/>
          <w:numId w:val="12"/>
        </w:numPr>
        <w:jc w:val="both"/>
        <w:rPr>
          <w:i w:val="0"/>
          <w:sz w:val="20"/>
        </w:rPr>
      </w:pPr>
      <w:r w:rsidRPr="00EF0AA2">
        <w:rPr>
          <w:i w:val="0"/>
          <w:sz w:val="20"/>
        </w:rPr>
        <w:t xml:space="preserve">Responsible for </w:t>
      </w:r>
      <w:proofErr w:type="spellStart"/>
      <w:r w:rsidRPr="00EF0AA2">
        <w:rPr>
          <w:i w:val="0"/>
          <w:sz w:val="20"/>
        </w:rPr>
        <w:t>BoP</w:t>
      </w:r>
      <w:proofErr w:type="spellEnd"/>
      <w:r w:rsidRPr="00EF0AA2">
        <w:rPr>
          <w:i w:val="0"/>
          <w:sz w:val="20"/>
        </w:rPr>
        <w:t xml:space="preserve"> forecast</w:t>
      </w:r>
      <w:r w:rsidR="00CF4C32" w:rsidRPr="00EF0AA2">
        <w:rPr>
          <w:i w:val="0"/>
          <w:sz w:val="20"/>
        </w:rPr>
        <w:t xml:space="preserve">, </w:t>
      </w:r>
      <w:r w:rsidRPr="00EF0AA2">
        <w:rPr>
          <w:i w:val="0"/>
          <w:sz w:val="20"/>
        </w:rPr>
        <w:t>for external sustainability analysis, foreign reserves adequacy assessment a</w:t>
      </w:r>
      <w:r w:rsidR="00970EA2" w:rsidRPr="00EF0AA2">
        <w:rPr>
          <w:i w:val="0"/>
          <w:sz w:val="20"/>
        </w:rPr>
        <w:t>nd fiscal policy sustainability</w:t>
      </w:r>
    </w:p>
    <w:p w:rsidR="00D67C5B" w:rsidRPr="00EF0AA2" w:rsidRDefault="00D67C5B" w:rsidP="00CF4C32">
      <w:pPr>
        <w:pStyle w:val="OiaeaeiYiio2"/>
        <w:numPr>
          <w:ilvl w:val="0"/>
          <w:numId w:val="12"/>
        </w:numPr>
        <w:jc w:val="both"/>
        <w:rPr>
          <w:i w:val="0"/>
          <w:sz w:val="20"/>
        </w:rPr>
      </w:pPr>
      <w:r w:rsidRPr="00EF0AA2">
        <w:rPr>
          <w:i w:val="0"/>
          <w:sz w:val="20"/>
        </w:rPr>
        <w:t>Preparation of regular reports of the NBRM and various scientific research projects</w:t>
      </w:r>
    </w:p>
    <w:p w:rsidR="00D67C5B" w:rsidRPr="00EF0AA2" w:rsidRDefault="00D67C5B" w:rsidP="00CF4C32">
      <w:pPr>
        <w:pStyle w:val="OiaeaeiYiio2"/>
        <w:numPr>
          <w:ilvl w:val="0"/>
          <w:numId w:val="12"/>
        </w:numPr>
        <w:jc w:val="both"/>
        <w:rPr>
          <w:i w:val="0"/>
          <w:sz w:val="20"/>
        </w:rPr>
      </w:pPr>
      <w:r w:rsidRPr="00EF0AA2">
        <w:rPr>
          <w:i w:val="0"/>
          <w:sz w:val="20"/>
        </w:rPr>
        <w:t>Participation in IMF and credit rating agencies meetings</w:t>
      </w:r>
    </w:p>
    <w:p w:rsidR="00D67C5B" w:rsidRPr="00EF0AA2" w:rsidRDefault="00D67C5B" w:rsidP="00CF4C32">
      <w:pPr>
        <w:pStyle w:val="OiaeaeiYiio2"/>
        <w:jc w:val="both"/>
        <w:rPr>
          <w:b/>
          <w:i w:val="0"/>
          <w:sz w:val="20"/>
        </w:rPr>
      </w:pPr>
      <w:r w:rsidRPr="00EF0AA2">
        <w:rPr>
          <w:b/>
          <w:i w:val="0"/>
          <w:sz w:val="20"/>
        </w:rPr>
        <w:t xml:space="preserve">Analyst in Monetary Policy and Research Department, </w:t>
      </w:r>
      <w:r w:rsidRPr="00EF0AA2">
        <w:rPr>
          <w:i w:val="0"/>
          <w:sz w:val="20"/>
        </w:rPr>
        <w:t>the Real Sector Developments Unit</w:t>
      </w:r>
      <w:r w:rsidRPr="00EF0AA2">
        <w:rPr>
          <w:b/>
          <w:i w:val="0"/>
          <w:sz w:val="20"/>
        </w:rPr>
        <w:t>:</w:t>
      </w:r>
    </w:p>
    <w:p w:rsidR="00D67C5B" w:rsidRPr="00EF0AA2" w:rsidRDefault="00D67C5B" w:rsidP="00CF4C32">
      <w:pPr>
        <w:pStyle w:val="OiaeaeiYiio2"/>
        <w:numPr>
          <w:ilvl w:val="0"/>
          <w:numId w:val="14"/>
        </w:numPr>
        <w:jc w:val="both"/>
        <w:rPr>
          <w:i w:val="0"/>
          <w:sz w:val="20"/>
        </w:rPr>
      </w:pPr>
      <w:r w:rsidRPr="00EF0AA2">
        <w:rPr>
          <w:i w:val="0"/>
          <w:sz w:val="20"/>
        </w:rPr>
        <w:t>Chief of GDP and inflation forecast</w:t>
      </w:r>
    </w:p>
    <w:p w:rsidR="00D67C5B" w:rsidRPr="00EF0AA2" w:rsidRDefault="00D67C5B" w:rsidP="00CF4C32">
      <w:pPr>
        <w:pStyle w:val="OiaeaeiYiio2"/>
        <w:numPr>
          <w:ilvl w:val="0"/>
          <w:numId w:val="14"/>
        </w:numPr>
        <w:jc w:val="both"/>
        <w:rPr>
          <w:i w:val="0"/>
          <w:sz w:val="20"/>
        </w:rPr>
      </w:pPr>
      <w:r w:rsidRPr="00EF0AA2">
        <w:rPr>
          <w:i w:val="0"/>
          <w:sz w:val="20"/>
        </w:rPr>
        <w:t>Analysis of macroeconomic trends related to the household sector and investment activity in RM</w:t>
      </w:r>
    </w:p>
    <w:p w:rsidR="00D67C5B" w:rsidRPr="00EF0AA2" w:rsidRDefault="00D67C5B" w:rsidP="00CF4C32">
      <w:pPr>
        <w:pStyle w:val="OiaeaeiYiio2"/>
        <w:widowControl/>
        <w:numPr>
          <w:ilvl w:val="0"/>
          <w:numId w:val="14"/>
        </w:numPr>
        <w:jc w:val="both"/>
        <w:rPr>
          <w:i w:val="0"/>
          <w:sz w:val="20"/>
        </w:rPr>
      </w:pPr>
      <w:r w:rsidRPr="00EF0AA2">
        <w:rPr>
          <w:i w:val="0"/>
          <w:sz w:val="20"/>
        </w:rPr>
        <w:t xml:space="preserve">Responsible for the analysis of the fiscal policy in RM and execution of state budget </w:t>
      </w:r>
    </w:p>
    <w:p w:rsidR="00A37F83" w:rsidRPr="00EF0AA2" w:rsidRDefault="00A37F83" w:rsidP="00C831B0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F0AA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C57EFB3" wp14:editId="14937B86">
                <wp:extent cx="6800850" cy="28575"/>
                <wp:effectExtent l="0" t="0" r="19050" b="28575"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0850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5271BD" id="Line 2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" strokeweight="1.5pt">
                <w10:anchorlock/>
              </v:line>
            </w:pict>
          </mc:Fallback>
        </mc:AlternateContent>
      </w:r>
      <w:r w:rsidRPr="00EF0AA2">
        <w:rPr>
          <w:rFonts w:ascii="Times New Roman" w:hAnsi="Times New Roman" w:cs="Times New Roman"/>
          <w:b/>
          <w:sz w:val="20"/>
          <w:szCs w:val="20"/>
          <w:lang w:val="en-GB"/>
        </w:rPr>
        <w:t>EDUCATION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2844"/>
      </w:tblGrid>
      <w:tr w:rsidR="00A37F83" w:rsidRPr="00EF0AA2" w:rsidTr="001118B8">
        <w:tc>
          <w:tcPr>
            <w:tcW w:w="7308" w:type="dxa"/>
          </w:tcPr>
          <w:p w:rsidR="00A37F83" w:rsidRPr="00EF0AA2" w:rsidRDefault="00D60C86" w:rsidP="00D6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The </w:t>
            </w:r>
            <w:r w:rsidR="00CF4C32" w:rsidRPr="00EF0AA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University</w:t>
            </w:r>
            <w:r w:rsidRPr="00EF0AA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of </w:t>
            </w:r>
            <w:r w:rsidRPr="00EF0AA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Sheffield</w:t>
            </w:r>
            <w:r w:rsidR="00CF4C32" w:rsidRPr="00EF0AA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D60C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International Faculty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, </w:t>
            </w:r>
            <w:r w:rsidRPr="00D60C8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CITY College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, Thessaloniki </w:t>
            </w:r>
          </w:p>
        </w:tc>
        <w:tc>
          <w:tcPr>
            <w:tcW w:w="2844" w:type="dxa"/>
          </w:tcPr>
          <w:p w:rsidR="00A37F83" w:rsidRPr="00C831B0" w:rsidRDefault="00A37F83" w:rsidP="00F4588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mk-MK"/>
              </w:rPr>
            </w:pPr>
            <w:r w:rsidRPr="00EF0AA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200</w:t>
            </w:r>
            <w:r w:rsidR="00C831B0">
              <w:rPr>
                <w:rFonts w:ascii="Times New Roman" w:hAnsi="Times New Roman" w:cs="Times New Roman"/>
                <w:i/>
                <w:sz w:val="20"/>
                <w:szCs w:val="20"/>
                <w:lang w:val="mk-MK"/>
              </w:rPr>
              <w:t>5</w:t>
            </w:r>
            <w:r w:rsidRPr="00EF0AA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–200</w:t>
            </w:r>
            <w:r w:rsidR="00C831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7</w:t>
            </w:r>
          </w:p>
        </w:tc>
      </w:tr>
    </w:tbl>
    <w:p w:rsidR="00A37F83" w:rsidRPr="00D60C86" w:rsidRDefault="00A37F83" w:rsidP="00D60C86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 w:rsidRPr="00D60C86">
        <w:rPr>
          <w:b/>
          <w:sz w:val="20"/>
          <w:szCs w:val="20"/>
          <w:lang w:val="en-GB"/>
        </w:rPr>
        <w:t>Master of Business Administration</w:t>
      </w:r>
      <w:r w:rsidRPr="00D60C86">
        <w:rPr>
          <w:sz w:val="20"/>
          <w:szCs w:val="20"/>
          <w:lang w:val="en-GB"/>
        </w:rPr>
        <w:t xml:space="preserve"> (MBA) in Finance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18"/>
        <w:gridCol w:w="2934"/>
      </w:tblGrid>
      <w:tr w:rsidR="00A37F83" w:rsidRPr="00EF0AA2" w:rsidTr="001118B8">
        <w:tc>
          <w:tcPr>
            <w:tcW w:w="7218" w:type="dxa"/>
          </w:tcPr>
          <w:p w:rsidR="00A37F83" w:rsidRPr="00EF0AA2" w:rsidRDefault="00A37F83" w:rsidP="00D6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AA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University of Skopje</w:t>
            </w:r>
            <w:r w:rsidRPr="00EF0A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Macedonia</w:t>
            </w:r>
          </w:p>
        </w:tc>
        <w:tc>
          <w:tcPr>
            <w:tcW w:w="2934" w:type="dxa"/>
          </w:tcPr>
          <w:p w:rsidR="00A37F83" w:rsidRPr="00EF0AA2" w:rsidRDefault="00C831B0" w:rsidP="00F4588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mk-MK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37F83" w:rsidRPr="00EF0AA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199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mk-MK"/>
              </w:rPr>
              <w:t>6</w:t>
            </w:r>
            <w:r w:rsidR="00A37F83" w:rsidRPr="00EF0AA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– 200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2</w:t>
            </w:r>
          </w:p>
        </w:tc>
      </w:tr>
    </w:tbl>
    <w:p w:rsidR="00A37F83" w:rsidRPr="00EF0AA2" w:rsidRDefault="00A37F83" w:rsidP="00D60C86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 w:rsidRPr="00EF0AA2">
        <w:rPr>
          <w:b/>
          <w:sz w:val="20"/>
          <w:szCs w:val="20"/>
          <w:lang w:val="en-GB"/>
        </w:rPr>
        <w:t>Bachelor of Arts in Economics</w:t>
      </w:r>
      <w:r w:rsidRPr="00EF0AA2">
        <w:rPr>
          <w:sz w:val="20"/>
          <w:szCs w:val="20"/>
          <w:lang w:val="en-GB"/>
        </w:rPr>
        <w:t>, major in Finance and Banking</w:t>
      </w:r>
    </w:p>
    <w:p w:rsidR="004A60B2" w:rsidRDefault="00F4588E" w:rsidP="00F5398C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 w:rsidRPr="00F5398C">
        <w:rPr>
          <w:b/>
          <w:sz w:val="20"/>
          <w:szCs w:val="20"/>
        </w:rPr>
        <w:t>28</w:t>
      </w:r>
      <w:r w:rsidR="00C831B0" w:rsidRPr="00F5398C">
        <w:rPr>
          <w:b/>
          <w:sz w:val="20"/>
          <w:szCs w:val="20"/>
        </w:rPr>
        <w:t xml:space="preserve"> </w:t>
      </w:r>
      <w:r w:rsidR="00C831B0" w:rsidRPr="00F5398C">
        <w:rPr>
          <w:b/>
          <w:sz w:val="20"/>
          <w:szCs w:val="20"/>
          <w:lang w:val="en-GB"/>
        </w:rPr>
        <w:t>professional trainings and workshops</w:t>
      </w:r>
      <w:r w:rsidR="00C831B0" w:rsidRPr="00F5398C">
        <w:rPr>
          <w:sz w:val="20"/>
          <w:szCs w:val="20"/>
          <w:lang w:val="en-GB"/>
        </w:rPr>
        <w:t xml:space="preserve"> in the field of macroeconomics and finance</w:t>
      </w:r>
      <w:r w:rsidR="004A60B2" w:rsidRPr="00F5398C">
        <w:rPr>
          <w:sz w:val="20"/>
          <w:szCs w:val="20"/>
          <w:lang w:val="en-GB"/>
        </w:rPr>
        <w:t>, convened by IMF, US FED, ECB, World Bank, BIS, central banks of England, Switzerland, Deutsche Bundesbank and other countries from Europe.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847063">
        <w:rPr>
          <w:b/>
          <w:sz w:val="20"/>
        </w:rPr>
        <w:t>Courses, Seminars and Workshops</w:t>
      </w:r>
      <w:r w:rsidRPr="00F07B01">
        <w:rPr>
          <w:i w:val="0"/>
          <w:sz w:val="20"/>
        </w:rPr>
        <w:t>: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>1. Business English (1999, UCI, California)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>2 Written Communications (2004</w:t>
      </w:r>
      <w:proofErr w:type="gramStart"/>
      <w:r w:rsidRPr="00F07B01">
        <w:rPr>
          <w:i w:val="0"/>
          <w:sz w:val="20"/>
        </w:rPr>
        <w:t>,CEF</w:t>
      </w:r>
      <w:proofErr w:type="gramEnd"/>
      <w:r w:rsidRPr="00F07B01">
        <w:rPr>
          <w:i w:val="0"/>
          <w:sz w:val="20"/>
        </w:rPr>
        <w:t xml:space="preserve"> Ljubljana, Slovenia)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>3. Macroeconomic Forecasting (2004, IMF Institute Vienna, Austria)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lastRenderedPageBreak/>
        <w:t>4. Operating with E-views (2006</w:t>
      </w:r>
      <w:proofErr w:type="gramStart"/>
      <w:r w:rsidRPr="00F07B01">
        <w:rPr>
          <w:i w:val="0"/>
          <w:sz w:val="20"/>
        </w:rPr>
        <w:t>,NBRM</w:t>
      </w:r>
      <w:proofErr w:type="gramEnd"/>
      <w:r w:rsidRPr="00F07B01">
        <w:rPr>
          <w:i w:val="0"/>
          <w:sz w:val="20"/>
        </w:rPr>
        <w:t xml:space="preserve">, </w:t>
      </w:r>
      <w:proofErr w:type="spellStart"/>
      <w:r w:rsidRPr="00F07B01">
        <w:rPr>
          <w:i w:val="0"/>
          <w:sz w:val="20"/>
        </w:rPr>
        <w:t>R.Macedonia</w:t>
      </w:r>
      <w:proofErr w:type="spellEnd"/>
      <w:r w:rsidRPr="00F07B01">
        <w:rPr>
          <w:i w:val="0"/>
          <w:sz w:val="20"/>
        </w:rPr>
        <w:t xml:space="preserve">) 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 xml:space="preserve">5. Real Convergence and Monetary Policy Issues for Countries on their Way to the </w:t>
      </w:r>
      <w:proofErr w:type="gramStart"/>
      <w:r w:rsidRPr="00F07B01">
        <w:rPr>
          <w:i w:val="0"/>
          <w:sz w:val="20"/>
        </w:rPr>
        <w:t>EU(</w:t>
      </w:r>
      <w:proofErr w:type="gramEnd"/>
      <w:r w:rsidRPr="00F07B01">
        <w:rPr>
          <w:i w:val="0"/>
          <w:sz w:val="20"/>
        </w:rPr>
        <w:t>2006, IMF Institute Vienna, Austria)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>6. Inflation Targeting (2006, Central Bank of Serbia)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 xml:space="preserve">7. Macroeconomic modeling and forecasting using E-Views (2007, NBRM, </w:t>
      </w:r>
      <w:proofErr w:type="spellStart"/>
      <w:r w:rsidRPr="00F07B01">
        <w:rPr>
          <w:i w:val="0"/>
          <w:sz w:val="20"/>
        </w:rPr>
        <w:t>R.Macedonia</w:t>
      </w:r>
      <w:proofErr w:type="spellEnd"/>
      <w:r w:rsidRPr="00F07B01">
        <w:rPr>
          <w:i w:val="0"/>
          <w:sz w:val="20"/>
        </w:rPr>
        <w:t>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>8. Monetary Policy in Developing Countries (2007, Central Bank of Switzerland)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>9. Economic research in South-Eastern Europe (2007, Central Bank of Albania)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>10. Financial Programming and Policies (2007, IMF Institute Washington, USA)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>11. Macroeconomic Management and Financial Sector Issues (2008, IMF Institute Vienna, Austria)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>12. Economic modeling and forecasting (2008, CCBC, Bank of England)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 xml:space="preserve">13. Macroeconomic modeling and forecasting II (2009, NBRM, </w:t>
      </w:r>
      <w:proofErr w:type="spellStart"/>
      <w:r w:rsidRPr="00F07B01">
        <w:rPr>
          <w:i w:val="0"/>
          <w:sz w:val="20"/>
        </w:rPr>
        <w:t>R.Macedonia</w:t>
      </w:r>
      <w:proofErr w:type="spellEnd"/>
      <w:r w:rsidRPr="00F07B01">
        <w:rPr>
          <w:i w:val="0"/>
          <w:sz w:val="20"/>
        </w:rPr>
        <w:t>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>14. Macroeconomic Management and Fiscal Sector Issues (2009, IMF Institute Vienna, Austria)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>15.</w:t>
      </w:r>
      <w:r w:rsidRPr="00F07B01">
        <w:t xml:space="preserve"> </w:t>
      </w:r>
      <w:r w:rsidRPr="00F07B01">
        <w:rPr>
          <w:i w:val="0"/>
          <w:sz w:val="20"/>
        </w:rPr>
        <w:t>Macroeconomic Diagnostic course (2010, IMF Institute Washington, USA)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>16.</w:t>
      </w:r>
      <w:r w:rsidRPr="00F07B01">
        <w:t xml:space="preserve"> </w:t>
      </w:r>
      <w:r w:rsidRPr="00F07B01">
        <w:rPr>
          <w:i w:val="0"/>
          <w:sz w:val="20"/>
        </w:rPr>
        <w:t>Fiscal Policy in the Crisis and Beyond: Short-term Impacts and Long-term Implications- (2010, Conference, Zagreb)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>17. Modelling and Forecasting (2011, Workshop, Deutsche Bundesbank, Frankfurt, Germany)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>18. Central Banking (2011, Seminar, Federal Reserve Bank of New York, New York, USA)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>19. US Monetary Policy Implementation (2011, Seminar, Federal Reserve Bank of New York, New York, USA)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 xml:space="preserve">20. Payment and Securities Settlement Systems (2012, De </w:t>
      </w:r>
      <w:proofErr w:type="spellStart"/>
      <w:r w:rsidRPr="00F07B01">
        <w:rPr>
          <w:i w:val="0"/>
          <w:sz w:val="20"/>
        </w:rPr>
        <w:t>Nederlandsche</w:t>
      </w:r>
      <w:proofErr w:type="spellEnd"/>
      <w:r w:rsidRPr="00F07B01">
        <w:rPr>
          <w:i w:val="0"/>
          <w:sz w:val="20"/>
        </w:rPr>
        <w:t xml:space="preserve"> Bank, Amsterdam, Netherlands)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>21. 19</w:t>
      </w:r>
      <w:r w:rsidRPr="00F07B01">
        <w:rPr>
          <w:i w:val="0"/>
          <w:sz w:val="20"/>
          <w:vertAlign w:val="superscript"/>
        </w:rPr>
        <w:t>th</w:t>
      </w:r>
      <w:r w:rsidRPr="00F07B01">
        <w:rPr>
          <w:i w:val="0"/>
          <w:sz w:val="20"/>
        </w:rPr>
        <w:t xml:space="preserve"> Annual Reserve Management Seminar for Sovereign Institutions (2013, UBS, Zurich, Switzerland)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>22. Inclusive Growth (2013, Seminar, IMF, Washington DC, USA)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>23. 20</w:t>
      </w:r>
      <w:r w:rsidRPr="00F07B01">
        <w:rPr>
          <w:i w:val="0"/>
          <w:sz w:val="20"/>
          <w:vertAlign w:val="superscript"/>
        </w:rPr>
        <w:t>th</w:t>
      </w:r>
      <w:r w:rsidRPr="00F07B01">
        <w:rPr>
          <w:i w:val="0"/>
          <w:sz w:val="20"/>
        </w:rPr>
        <w:t xml:space="preserve"> Reserve Management Seminar for Sovereign Institutions (2014, UBS, </w:t>
      </w:r>
      <w:proofErr w:type="spellStart"/>
      <w:r w:rsidRPr="00F07B01">
        <w:rPr>
          <w:i w:val="0"/>
          <w:sz w:val="20"/>
        </w:rPr>
        <w:t>Ermatingen</w:t>
      </w:r>
      <w:proofErr w:type="spellEnd"/>
      <w:r w:rsidRPr="00F07B01">
        <w:rPr>
          <w:i w:val="0"/>
          <w:sz w:val="20"/>
        </w:rPr>
        <w:t>, Switzerland)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>24. Workshop on Governance and Fundamentals of Asset Allocation (2015, World Bank – RAMP, Washington DC, USA)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>25. Executive Leadership Colloquium (2015, World Bank, Windsor, UK)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>26. 17</w:t>
      </w:r>
      <w:r w:rsidRPr="00F07B01">
        <w:rPr>
          <w:i w:val="0"/>
          <w:sz w:val="20"/>
          <w:vertAlign w:val="superscript"/>
        </w:rPr>
        <w:t>th</w:t>
      </w:r>
      <w:r w:rsidRPr="00F07B01">
        <w:rPr>
          <w:i w:val="0"/>
          <w:sz w:val="20"/>
        </w:rPr>
        <w:t xml:space="preserve"> ECB Seminar on Payment, Clearing and Settlement for Central Banks (2017, ECB, Frankfurt, Germany)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>27. Leadership and Change Management Executive Program (2017, World Bank Treasury and Yale School Management, New Haven, Connecticut, USA</w:t>
      </w:r>
    </w:p>
    <w:p w:rsidR="006A0548" w:rsidRPr="00F07B01" w:rsidRDefault="006A0548" w:rsidP="00847063">
      <w:pPr>
        <w:pStyle w:val="OiaeaeiYiio2"/>
        <w:widowControl/>
        <w:spacing w:before="20" w:after="20"/>
        <w:ind w:left="360"/>
        <w:jc w:val="both"/>
        <w:rPr>
          <w:i w:val="0"/>
          <w:sz w:val="20"/>
        </w:rPr>
      </w:pPr>
      <w:r w:rsidRPr="00F07B01">
        <w:rPr>
          <w:i w:val="0"/>
          <w:sz w:val="20"/>
        </w:rPr>
        <w:t xml:space="preserve">28. </w:t>
      </w:r>
      <w:proofErr w:type="spellStart"/>
      <w:r w:rsidRPr="00F07B01">
        <w:rPr>
          <w:i w:val="0"/>
          <w:sz w:val="20"/>
        </w:rPr>
        <w:t>Erste</w:t>
      </w:r>
      <w:proofErr w:type="spellEnd"/>
      <w:r w:rsidRPr="00F07B01">
        <w:rPr>
          <w:i w:val="0"/>
          <w:sz w:val="20"/>
        </w:rPr>
        <w:t xml:space="preserve"> Group Winter Academy – Will Inflation Come Back Again (2017, </w:t>
      </w:r>
      <w:proofErr w:type="spellStart"/>
      <w:r w:rsidRPr="00F07B01">
        <w:rPr>
          <w:i w:val="0"/>
          <w:sz w:val="20"/>
        </w:rPr>
        <w:t>Erste</w:t>
      </w:r>
      <w:proofErr w:type="spellEnd"/>
      <w:r w:rsidRPr="00F07B01">
        <w:rPr>
          <w:i w:val="0"/>
          <w:sz w:val="20"/>
        </w:rPr>
        <w:t xml:space="preserve"> Group, </w:t>
      </w:r>
      <w:proofErr w:type="spellStart"/>
      <w:r w:rsidRPr="00F07B01">
        <w:rPr>
          <w:i w:val="0"/>
          <w:sz w:val="20"/>
        </w:rPr>
        <w:t>Obertauern</w:t>
      </w:r>
      <w:proofErr w:type="spellEnd"/>
      <w:r w:rsidRPr="00F07B01">
        <w:rPr>
          <w:i w:val="0"/>
          <w:sz w:val="20"/>
        </w:rPr>
        <w:t>, Austria)</w:t>
      </w:r>
    </w:p>
    <w:p w:rsidR="006A0548" w:rsidRPr="00847063" w:rsidRDefault="00847063" w:rsidP="00847063">
      <w:pPr>
        <w:pStyle w:val="ListParagraph"/>
        <w:numPr>
          <w:ilvl w:val="0"/>
          <w:numId w:val="17"/>
        </w:numPr>
        <w:rPr>
          <w:b/>
          <w:sz w:val="20"/>
          <w:szCs w:val="20"/>
          <w:u w:val="single"/>
          <w:lang w:val="en-GB"/>
        </w:rPr>
      </w:pPr>
      <w:r w:rsidRPr="00847063">
        <w:rPr>
          <w:b/>
          <w:sz w:val="20"/>
          <w:szCs w:val="20"/>
          <w:lang w:val="en-GB"/>
        </w:rPr>
        <w:t xml:space="preserve">Has participated, as panellist or </w:t>
      </w:r>
      <w:r w:rsidRPr="00161B19">
        <w:rPr>
          <w:b/>
          <w:sz w:val="20"/>
          <w:szCs w:val="20"/>
          <w:lang w:val="en-GB"/>
        </w:rPr>
        <w:t xml:space="preserve">delegate, at </w:t>
      </w:r>
      <w:r w:rsidR="00161B19" w:rsidRPr="00161B19">
        <w:rPr>
          <w:b/>
          <w:sz w:val="20"/>
          <w:szCs w:val="20"/>
          <w:lang w:val="en-GB"/>
        </w:rPr>
        <w:t>2</w:t>
      </w:r>
      <w:r w:rsidRPr="00161B19">
        <w:rPr>
          <w:b/>
          <w:sz w:val="20"/>
          <w:szCs w:val="20"/>
          <w:lang w:val="en-GB"/>
        </w:rPr>
        <w:t>0 international confe</w:t>
      </w:r>
      <w:r w:rsidR="00161B19" w:rsidRPr="00161B19">
        <w:rPr>
          <w:b/>
          <w:sz w:val="20"/>
          <w:szCs w:val="20"/>
          <w:lang w:val="en-GB"/>
        </w:rPr>
        <w:t>rences, symposiums and seminars:</w:t>
      </w:r>
    </w:p>
    <w:p w:rsidR="00161B19" w:rsidRPr="00161B19" w:rsidRDefault="00161B19" w:rsidP="00161B19">
      <w:pPr>
        <w:pStyle w:val="ListParagraph"/>
        <w:widowControl w:val="0"/>
        <w:numPr>
          <w:ilvl w:val="0"/>
          <w:numId w:val="20"/>
        </w:numPr>
        <w:jc w:val="both"/>
        <w:rPr>
          <w:sz w:val="20"/>
          <w:szCs w:val="20"/>
        </w:rPr>
      </w:pPr>
      <w:r w:rsidRPr="00161B19">
        <w:rPr>
          <w:sz w:val="20"/>
          <w:szCs w:val="20"/>
        </w:rPr>
        <w:t>Central and Eastern European Forum -</w:t>
      </w:r>
      <w:proofErr w:type="spellStart"/>
      <w:r w:rsidRPr="00161B19">
        <w:rPr>
          <w:sz w:val="20"/>
          <w:szCs w:val="20"/>
        </w:rPr>
        <w:t>Euromoney</w:t>
      </w:r>
      <w:proofErr w:type="spellEnd"/>
      <w:r w:rsidRPr="00161B19">
        <w:rPr>
          <w:sz w:val="20"/>
          <w:szCs w:val="20"/>
        </w:rPr>
        <w:t xml:space="preserve"> conference, Austria, Vienna, 2012 </w:t>
      </w:r>
    </w:p>
    <w:p w:rsidR="00161B19" w:rsidRPr="00161B19" w:rsidRDefault="00161B19" w:rsidP="00161B19">
      <w:pPr>
        <w:pStyle w:val="ListParagraph"/>
        <w:widowControl w:val="0"/>
        <w:numPr>
          <w:ilvl w:val="0"/>
          <w:numId w:val="20"/>
        </w:numPr>
        <w:jc w:val="both"/>
        <w:rPr>
          <w:sz w:val="20"/>
          <w:szCs w:val="20"/>
        </w:rPr>
      </w:pPr>
      <w:r w:rsidRPr="00161B19">
        <w:rPr>
          <w:sz w:val="20"/>
          <w:szCs w:val="20"/>
        </w:rPr>
        <w:t>IMF/WB Constituency Meeting, National Bank of Romania &amp; Ministry of Public Finance of Romania, IMF/WB, Romania, 2012</w:t>
      </w:r>
      <w:r w:rsidRPr="00161B19">
        <w:rPr>
          <w:sz w:val="20"/>
          <w:szCs w:val="20"/>
        </w:rPr>
        <w:tab/>
      </w:r>
    </w:p>
    <w:p w:rsidR="00161B19" w:rsidRPr="00161B19" w:rsidRDefault="00161B19" w:rsidP="00161B19">
      <w:pPr>
        <w:pStyle w:val="ListParagraph"/>
        <w:widowControl w:val="0"/>
        <w:numPr>
          <w:ilvl w:val="0"/>
          <w:numId w:val="20"/>
        </w:numPr>
        <w:jc w:val="both"/>
        <w:rPr>
          <w:sz w:val="20"/>
          <w:szCs w:val="20"/>
        </w:rPr>
      </w:pPr>
      <w:r w:rsidRPr="00161B19">
        <w:rPr>
          <w:sz w:val="20"/>
          <w:szCs w:val="20"/>
        </w:rPr>
        <w:t>Summit of Regional Ministers and Governors "Financial Future of the Region" Ministry of Finance of the Republic of Montenegro, 2012</w:t>
      </w:r>
      <w:r w:rsidRPr="00161B19">
        <w:rPr>
          <w:sz w:val="20"/>
          <w:szCs w:val="20"/>
        </w:rPr>
        <w:tab/>
      </w:r>
    </w:p>
    <w:p w:rsidR="00161B19" w:rsidRPr="00161B19" w:rsidRDefault="00161B19" w:rsidP="00161B19">
      <w:pPr>
        <w:pStyle w:val="ListParagraph"/>
        <w:widowControl w:val="0"/>
        <w:numPr>
          <w:ilvl w:val="0"/>
          <w:numId w:val="20"/>
        </w:numPr>
        <w:jc w:val="both"/>
        <w:rPr>
          <w:sz w:val="20"/>
          <w:szCs w:val="20"/>
        </w:rPr>
      </w:pPr>
      <w:r w:rsidRPr="00161B19">
        <w:rPr>
          <w:sz w:val="20"/>
          <w:szCs w:val="20"/>
        </w:rPr>
        <w:t xml:space="preserve">Regional Workshop: Redefining convergence in SEE: Implications of changes underway in the EU and euro area, South East European Studies at Oxford (SEESOX) and Bank of Albania, 2013 </w:t>
      </w:r>
    </w:p>
    <w:p w:rsidR="00161B19" w:rsidRPr="00161B19" w:rsidRDefault="00161B19" w:rsidP="00161B19">
      <w:pPr>
        <w:pStyle w:val="ListParagraph"/>
        <w:widowControl w:val="0"/>
        <w:numPr>
          <w:ilvl w:val="0"/>
          <w:numId w:val="20"/>
        </w:numPr>
        <w:jc w:val="both"/>
        <w:rPr>
          <w:sz w:val="20"/>
          <w:szCs w:val="20"/>
        </w:rPr>
      </w:pPr>
      <w:r w:rsidRPr="00161B19">
        <w:rPr>
          <w:sz w:val="20"/>
          <w:szCs w:val="20"/>
        </w:rPr>
        <w:t>Conference “State and future of regional financial systems”, NBS, Belgrade, 2013</w:t>
      </w:r>
    </w:p>
    <w:p w:rsidR="00161B19" w:rsidRPr="00161B19" w:rsidRDefault="00161B19" w:rsidP="00161B19">
      <w:pPr>
        <w:pStyle w:val="ListParagraph"/>
        <w:widowControl w:val="0"/>
        <w:numPr>
          <w:ilvl w:val="0"/>
          <w:numId w:val="20"/>
        </w:numPr>
        <w:jc w:val="both"/>
        <w:rPr>
          <w:sz w:val="20"/>
          <w:szCs w:val="20"/>
        </w:rPr>
      </w:pPr>
      <w:r w:rsidRPr="00161B19">
        <w:rPr>
          <w:sz w:val="20"/>
          <w:szCs w:val="20"/>
        </w:rPr>
        <w:t>Meeting - Finances of Central Banks, BIS (Bank for International Settlements), 2013</w:t>
      </w:r>
    </w:p>
    <w:p w:rsidR="00161B19" w:rsidRPr="00161B19" w:rsidRDefault="00161B19" w:rsidP="00161B19">
      <w:pPr>
        <w:pStyle w:val="ListParagraph"/>
        <w:widowControl w:val="0"/>
        <w:numPr>
          <w:ilvl w:val="0"/>
          <w:numId w:val="20"/>
        </w:numPr>
        <w:jc w:val="both"/>
        <w:rPr>
          <w:sz w:val="20"/>
          <w:szCs w:val="20"/>
        </w:rPr>
      </w:pPr>
      <w:r w:rsidRPr="00161B19">
        <w:rPr>
          <w:sz w:val="20"/>
          <w:szCs w:val="20"/>
        </w:rPr>
        <w:t>Conference - National Asset - Li</w:t>
      </w:r>
      <w:r w:rsidR="00F41BC2">
        <w:rPr>
          <w:sz w:val="20"/>
          <w:szCs w:val="20"/>
        </w:rPr>
        <w:t xml:space="preserve">ability Management Europe 2014, </w:t>
      </w:r>
      <w:r w:rsidRPr="00161B19">
        <w:rPr>
          <w:sz w:val="20"/>
          <w:szCs w:val="20"/>
        </w:rPr>
        <w:t>Central Banking Publications, UK, London, 2014</w:t>
      </w:r>
      <w:r w:rsidRPr="00161B19">
        <w:rPr>
          <w:sz w:val="20"/>
          <w:szCs w:val="20"/>
        </w:rPr>
        <w:tab/>
      </w:r>
    </w:p>
    <w:p w:rsidR="00161B19" w:rsidRPr="00161B19" w:rsidRDefault="00161B19" w:rsidP="00161B19">
      <w:pPr>
        <w:pStyle w:val="ListParagraph"/>
        <w:widowControl w:val="0"/>
        <w:numPr>
          <w:ilvl w:val="0"/>
          <w:numId w:val="20"/>
        </w:numPr>
        <w:jc w:val="both"/>
        <w:rPr>
          <w:sz w:val="20"/>
          <w:szCs w:val="20"/>
        </w:rPr>
      </w:pPr>
      <w:r w:rsidRPr="00161B19">
        <w:rPr>
          <w:sz w:val="20"/>
          <w:szCs w:val="20"/>
        </w:rPr>
        <w:t>Constituency Meeting 2014, IMF/World Bank, Netherlands, The Hague, 2014</w:t>
      </w:r>
      <w:r w:rsidRPr="00161B19">
        <w:rPr>
          <w:sz w:val="20"/>
          <w:szCs w:val="20"/>
        </w:rPr>
        <w:tab/>
      </w:r>
    </w:p>
    <w:p w:rsidR="00161B19" w:rsidRPr="00161B19" w:rsidRDefault="00161B19" w:rsidP="00161B19">
      <w:pPr>
        <w:pStyle w:val="ListParagraph"/>
        <w:widowControl w:val="0"/>
        <w:numPr>
          <w:ilvl w:val="0"/>
          <w:numId w:val="20"/>
        </w:numPr>
        <w:jc w:val="both"/>
        <w:rPr>
          <w:sz w:val="20"/>
          <w:szCs w:val="20"/>
        </w:rPr>
      </w:pPr>
      <w:r w:rsidRPr="00161B19">
        <w:rPr>
          <w:sz w:val="20"/>
          <w:szCs w:val="20"/>
        </w:rPr>
        <w:t xml:space="preserve">High level seminar „South East Europe in an Environment of Volatile Capital Flows“, B&amp;H, Sarajevo, 2014 </w:t>
      </w:r>
      <w:r w:rsidRPr="00161B19">
        <w:rPr>
          <w:sz w:val="20"/>
          <w:szCs w:val="20"/>
        </w:rPr>
        <w:tab/>
      </w:r>
    </w:p>
    <w:p w:rsidR="00161B19" w:rsidRPr="00161B19" w:rsidRDefault="00161B19" w:rsidP="00161B19">
      <w:pPr>
        <w:pStyle w:val="ListParagraph"/>
        <w:widowControl w:val="0"/>
        <w:numPr>
          <w:ilvl w:val="0"/>
          <w:numId w:val="20"/>
        </w:numPr>
        <w:jc w:val="both"/>
        <w:rPr>
          <w:sz w:val="20"/>
          <w:szCs w:val="20"/>
        </w:rPr>
      </w:pPr>
      <w:r w:rsidRPr="00161B19">
        <w:rPr>
          <w:sz w:val="20"/>
          <w:szCs w:val="20"/>
        </w:rPr>
        <w:t>9</w:t>
      </w:r>
      <w:r w:rsidRPr="00161B19">
        <w:rPr>
          <w:sz w:val="20"/>
          <w:szCs w:val="20"/>
          <w:vertAlign w:val="superscript"/>
        </w:rPr>
        <w:t>th</w:t>
      </w:r>
      <w:r w:rsidRPr="00161B19">
        <w:rPr>
          <w:sz w:val="20"/>
          <w:szCs w:val="20"/>
        </w:rPr>
        <w:t xml:space="preserve"> Annual National Asset - Liability Management Europe Symposium, Central Banking Publications, UK, London, 2015</w:t>
      </w:r>
    </w:p>
    <w:p w:rsidR="00161B19" w:rsidRPr="00161B19" w:rsidRDefault="00161B19" w:rsidP="00161B19">
      <w:pPr>
        <w:pStyle w:val="ListParagraph"/>
        <w:widowControl w:val="0"/>
        <w:numPr>
          <w:ilvl w:val="0"/>
          <w:numId w:val="20"/>
        </w:numPr>
        <w:jc w:val="both"/>
        <w:rPr>
          <w:sz w:val="20"/>
          <w:szCs w:val="20"/>
        </w:rPr>
      </w:pPr>
      <w:r w:rsidRPr="00161B19">
        <w:rPr>
          <w:sz w:val="20"/>
          <w:szCs w:val="20"/>
        </w:rPr>
        <w:t xml:space="preserve">Conference “Consequences of the </w:t>
      </w:r>
      <w:proofErr w:type="spellStart"/>
      <w:r w:rsidRPr="00161B19">
        <w:rPr>
          <w:sz w:val="20"/>
          <w:szCs w:val="20"/>
        </w:rPr>
        <w:t>Eurosystem’s</w:t>
      </w:r>
      <w:proofErr w:type="spellEnd"/>
      <w:r w:rsidRPr="00161B19">
        <w:rPr>
          <w:sz w:val="20"/>
          <w:szCs w:val="20"/>
        </w:rPr>
        <w:t xml:space="preserve"> Non-Standard Measures for the Western Balkans”, Vienna, JVI, 2015</w:t>
      </w:r>
    </w:p>
    <w:p w:rsidR="00161B19" w:rsidRPr="00161B19" w:rsidRDefault="00161B19" w:rsidP="00161B19">
      <w:pPr>
        <w:pStyle w:val="ListParagraph"/>
        <w:widowControl w:val="0"/>
        <w:numPr>
          <w:ilvl w:val="0"/>
          <w:numId w:val="20"/>
        </w:numPr>
        <w:jc w:val="both"/>
        <w:rPr>
          <w:sz w:val="20"/>
          <w:szCs w:val="20"/>
        </w:rPr>
      </w:pPr>
      <w:r w:rsidRPr="00161B19">
        <w:rPr>
          <w:sz w:val="20"/>
          <w:szCs w:val="20"/>
        </w:rPr>
        <w:t xml:space="preserve">Conference on Economic Governance in Europe and EU Accession Process: What Role for Central Banks? National Bank of Serbia, 2015 </w:t>
      </w:r>
    </w:p>
    <w:p w:rsidR="00161B19" w:rsidRPr="00161B19" w:rsidRDefault="00161B19" w:rsidP="00161B19">
      <w:pPr>
        <w:pStyle w:val="ListParagraph"/>
        <w:widowControl w:val="0"/>
        <w:numPr>
          <w:ilvl w:val="0"/>
          <w:numId w:val="20"/>
        </w:numPr>
        <w:jc w:val="both"/>
        <w:rPr>
          <w:sz w:val="20"/>
          <w:szCs w:val="20"/>
        </w:rPr>
      </w:pPr>
      <w:r w:rsidRPr="00161B19">
        <w:rPr>
          <w:sz w:val="20"/>
          <w:szCs w:val="20"/>
        </w:rPr>
        <w:t>"Strengthening the Role of Local Currencies in the Western Balkans - Strategies, Challenges and Benefits", Frankfurt, 2015</w:t>
      </w:r>
    </w:p>
    <w:p w:rsidR="00161B19" w:rsidRPr="00161B19" w:rsidRDefault="00161B19" w:rsidP="00161B19">
      <w:pPr>
        <w:pStyle w:val="ListParagraph"/>
        <w:widowControl w:val="0"/>
        <w:numPr>
          <w:ilvl w:val="0"/>
          <w:numId w:val="20"/>
        </w:numPr>
        <w:jc w:val="both"/>
        <w:rPr>
          <w:sz w:val="20"/>
          <w:szCs w:val="20"/>
        </w:rPr>
      </w:pPr>
      <w:r w:rsidRPr="00161B19">
        <w:rPr>
          <w:sz w:val="20"/>
          <w:szCs w:val="20"/>
        </w:rPr>
        <w:t xml:space="preserve">Conference on Central Bank and Supervisory Governance, De </w:t>
      </w:r>
      <w:proofErr w:type="spellStart"/>
      <w:r w:rsidRPr="00161B19">
        <w:rPr>
          <w:sz w:val="20"/>
          <w:szCs w:val="20"/>
        </w:rPr>
        <w:t>Nederlandsche</w:t>
      </w:r>
      <w:proofErr w:type="spellEnd"/>
      <w:r w:rsidRPr="00161B19">
        <w:rPr>
          <w:sz w:val="20"/>
          <w:szCs w:val="20"/>
        </w:rPr>
        <w:t xml:space="preserve"> Bank, Amsterdam, Netherlands, 2016</w:t>
      </w:r>
    </w:p>
    <w:p w:rsidR="00161B19" w:rsidRPr="00161B19" w:rsidRDefault="00161B19" w:rsidP="00161B19">
      <w:pPr>
        <w:pStyle w:val="ListParagraph"/>
        <w:widowControl w:val="0"/>
        <w:numPr>
          <w:ilvl w:val="0"/>
          <w:numId w:val="20"/>
        </w:numPr>
        <w:jc w:val="both"/>
        <w:rPr>
          <w:sz w:val="20"/>
          <w:szCs w:val="20"/>
        </w:rPr>
      </w:pPr>
      <w:r w:rsidRPr="00161B19">
        <w:rPr>
          <w:sz w:val="20"/>
          <w:szCs w:val="20"/>
        </w:rPr>
        <w:t>XXXV Meeting of the Central Bank Governors’ Club of Central Asia, Black Sea Region and Balkan Countries, June 2016, Almaty, Kazakhstan</w:t>
      </w:r>
    </w:p>
    <w:p w:rsidR="00161B19" w:rsidRPr="00161B19" w:rsidRDefault="00161B19" w:rsidP="00161B19">
      <w:pPr>
        <w:pStyle w:val="ListParagraph"/>
        <w:widowControl w:val="0"/>
        <w:numPr>
          <w:ilvl w:val="0"/>
          <w:numId w:val="20"/>
        </w:numPr>
        <w:jc w:val="both"/>
        <w:rPr>
          <w:sz w:val="20"/>
          <w:szCs w:val="20"/>
          <w:lang w:eastAsia="en-GB"/>
        </w:rPr>
      </w:pPr>
      <w:r w:rsidRPr="00161B19">
        <w:rPr>
          <w:sz w:val="20"/>
          <w:szCs w:val="20"/>
          <w:lang w:eastAsia="en-GB"/>
        </w:rPr>
        <w:t xml:space="preserve">Workshop on Governance Framework for Reserve Management, World Bank Treasury and BIS, Basel, Switzerland, 2017 </w:t>
      </w:r>
    </w:p>
    <w:p w:rsidR="00161B19" w:rsidRPr="00161B19" w:rsidRDefault="00161B19" w:rsidP="00161B19">
      <w:pPr>
        <w:pStyle w:val="ListParagraph"/>
        <w:widowControl w:val="0"/>
        <w:numPr>
          <w:ilvl w:val="0"/>
          <w:numId w:val="20"/>
        </w:numPr>
        <w:jc w:val="both"/>
        <w:rPr>
          <w:sz w:val="20"/>
          <w:szCs w:val="20"/>
          <w:lang w:eastAsia="en-GB"/>
        </w:rPr>
      </w:pPr>
      <w:r w:rsidRPr="00161B19">
        <w:rPr>
          <w:sz w:val="20"/>
          <w:szCs w:val="20"/>
          <w:lang w:eastAsia="en-GB"/>
        </w:rPr>
        <w:t>7</w:t>
      </w:r>
      <w:r w:rsidRPr="00161B19">
        <w:rPr>
          <w:sz w:val="20"/>
          <w:szCs w:val="20"/>
          <w:vertAlign w:val="superscript"/>
          <w:lang w:eastAsia="en-GB"/>
        </w:rPr>
        <w:t>th</w:t>
      </w:r>
      <w:r w:rsidRPr="00161B19">
        <w:rPr>
          <w:sz w:val="20"/>
          <w:szCs w:val="20"/>
          <w:lang w:eastAsia="en-GB"/>
        </w:rPr>
        <w:t xml:space="preserve"> BBVA Seminar for Public Investors and Issuers, BBVA, Bilbao, Spain, 2018</w:t>
      </w:r>
    </w:p>
    <w:p w:rsidR="00161B19" w:rsidRPr="00161B19" w:rsidRDefault="00161B19" w:rsidP="00161B19">
      <w:pPr>
        <w:pStyle w:val="ListParagraph"/>
        <w:widowControl w:val="0"/>
        <w:numPr>
          <w:ilvl w:val="0"/>
          <w:numId w:val="20"/>
        </w:numPr>
        <w:jc w:val="both"/>
        <w:rPr>
          <w:sz w:val="20"/>
          <w:szCs w:val="20"/>
          <w:lang w:eastAsia="en-GB"/>
        </w:rPr>
      </w:pPr>
      <w:r w:rsidRPr="00161B19">
        <w:rPr>
          <w:sz w:val="20"/>
          <w:szCs w:val="20"/>
          <w:lang w:eastAsia="en-GB"/>
        </w:rPr>
        <w:t>Astana Economic Forum “Today’s Shifting Global Economic Landscape”, The Government of the Republic of Kazakhstan, Economic Research Institute - Kazakhstan, RBWC and ISPG, May 17-18, 2018, Astana, Kazakhstan</w:t>
      </w:r>
    </w:p>
    <w:p w:rsidR="00161B19" w:rsidRPr="00161B19" w:rsidRDefault="00161B19" w:rsidP="00161B19">
      <w:pPr>
        <w:pStyle w:val="ListParagraph"/>
        <w:widowControl w:val="0"/>
        <w:numPr>
          <w:ilvl w:val="0"/>
          <w:numId w:val="20"/>
        </w:numPr>
        <w:jc w:val="both"/>
        <w:rPr>
          <w:sz w:val="20"/>
          <w:szCs w:val="20"/>
          <w:lang w:eastAsia="en-GB"/>
        </w:rPr>
      </w:pPr>
      <w:proofErr w:type="spellStart"/>
      <w:r w:rsidRPr="00161B19">
        <w:rPr>
          <w:sz w:val="20"/>
          <w:szCs w:val="20"/>
          <w:lang w:eastAsia="en-GB"/>
        </w:rPr>
        <w:t>xCEEd</w:t>
      </w:r>
      <w:proofErr w:type="spellEnd"/>
      <w:r w:rsidRPr="00161B19">
        <w:rPr>
          <w:sz w:val="20"/>
          <w:szCs w:val="20"/>
          <w:lang w:eastAsia="en-GB"/>
        </w:rPr>
        <w:t xml:space="preserve"> </w:t>
      </w:r>
      <w:proofErr w:type="spellStart"/>
      <w:r w:rsidRPr="00161B19">
        <w:rPr>
          <w:sz w:val="20"/>
          <w:szCs w:val="20"/>
          <w:lang w:eastAsia="en-GB"/>
        </w:rPr>
        <w:t>FinTech</w:t>
      </w:r>
      <w:proofErr w:type="spellEnd"/>
      <w:r w:rsidRPr="00161B19">
        <w:rPr>
          <w:sz w:val="20"/>
          <w:szCs w:val="20"/>
          <w:lang w:eastAsia="en-GB"/>
        </w:rPr>
        <w:t xml:space="preserve"> Conference, May 22-23, 2018,</w:t>
      </w:r>
      <w:r w:rsidRPr="00161B19">
        <w:rPr>
          <w:sz w:val="20"/>
          <w:szCs w:val="20"/>
          <w:lang w:val="mk-MK" w:eastAsia="en-GB"/>
        </w:rPr>
        <w:t xml:space="preserve"> </w:t>
      </w:r>
      <w:r w:rsidRPr="00161B19">
        <w:rPr>
          <w:sz w:val="20"/>
          <w:szCs w:val="20"/>
          <w:lang w:eastAsia="en-GB"/>
        </w:rPr>
        <w:t>Belgrade, Serbia</w:t>
      </w:r>
    </w:p>
    <w:p w:rsidR="006A0548" w:rsidRPr="00161B19" w:rsidRDefault="00161B19" w:rsidP="00161B19">
      <w:pPr>
        <w:pStyle w:val="ListParagraph"/>
        <w:numPr>
          <w:ilvl w:val="0"/>
          <w:numId w:val="20"/>
        </w:numPr>
        <w:rPr>
          <w:b/>
          <w:sz w:val="20"/>
          <w:szCs w:val="20"/>
          <w:u w:val="single"/>
          <w:lang w:val="en-GB"/>
        </w:rPr>
      </w:pPr>
      <w:r w:rsidRPr="00161B19">
        <w:rPr>
          <w:sz w:val="20"/>
          <w:szCs w:val="20"/>
          <w:lang w:eastAsia="en-GB"/>
        </w:rPr>
        <w:t xml:space="preserve">Summit of National Bank Governors, Finance Ministers and Tax Administration Directors of the Region “Financial and Monetary Stability in the Region Ten Years After the Global Financial Crisis”, NIN </w:t>
      </w:r>
      <w:proofErr w:type="spellStart"/>
      <w:r w:rsidRPr="00161B19">
        <w:rPr>
          <w:sz w:val="20"/>
          <w:szCs w:val="20"/>
          <w:lang w:eastAsia="en-GB"/>
        </w:rPr>
        <w:t>Fokus</w:t>
      </w:r>
      <w:proofErr w:type="spellEnd"/>
      <w:r w:rsidRPr="00161B19">
        <w:rPr>
          <w:sz w:val="20"/>
          <w:szCs w:val="20"/>
          <w:lang w:eastAsia="en-GB"/>
        </w:rPr>
        <w:t xml:space="preserve">, Ministry of Finance of the Republic of Montenegro, Central Bank of Montenegro, June 14-16, 2018, </w:t>
      </w:r>
      <w:proofErr w:type="spellStart"/>
      <w:r w:rsidRPr="00161B19">
        <w:rPr>
          <w:sz w:val="20"/>
          <w:szCs w:val="20"/>
          <w:lang w:eastAsia="en-GB"/>
        </w:rPr>
        <w:t>Becici</w:t>
      </w:r>
      <w:proofErr w:type="spellEnd"/>
      <w:r w:rsidRPr="00161B19">
        <w:rPr>
          <w:sz w:val="20"/>
          <w:szCs w:val="20"/>
          <w:lang w:eastAsia="en-GB"/>
        </w:rPr>
        <w:t>, Montenegro.</w:t>
      </w:r>
    </w:p>
    <w:p w:rsidR="006A0548" w:rsidRPr="00161B19" w:rsidRDefault="00847063" w:rsidP="00F41BC2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161B19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ab/>
      </w:r>
    </w:p>
    <w:p w:rsidR="006A0548" w:rsidRPr="004A60B2" w:rsidRDefault="00161B19" w:rsidP="006A0548">
      <w:pPr>
        <w:pStyle w:val="ListParagraph"/>
        <w:numPr>
          <w:ilvl w:val="0"/>
          <w:numId w:val="3"/>
        </w:num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S</w:t>
      </w:r>
      <w:r w:rsidR="006A0548" w:rsidRPr="004A60B2">
        <w:rPr>
          <w:b/>
          <w:sz w:val="20"/>
          <w:szCs w:val="20"/>
          <w:lang w:val="en-GB"/>
        </w:rPr>
        <w:t>KILLS AND LANGUAGES</w:t>
      </w:r>
    </w:p>
    <w:p w:rsidR="00F41BC2" w:rsidRPr="00F41BC2" w:rsidRDefault="00F41BC2" w:rsidP="00D60C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Skills: </w:t>
      </w:r>
      <w:r w:rsidRPr="00F41BC2">
        <w:rPr>
          <w:rFonts w:ascii="Times New Roman" w:hAnsi="Times New Roman" w:cs="Times New Roman"/>
          <w:sz w:val="20"/>
          <w:szCs w:val="20"/>
          <w:lang w:val="en-GB"/>
        </w:rPr>
        <w:t xml:space="preserve">Word, Excel, Power Point,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basics in </w:t>
      </w:r>
      <w:r w:rsidRPr="00F41BC2">
        <w:rPr>
          <w:rFonts w:ascii="Times New Roman" w:hAnsi="Times New Roman" w:cs="Times New Roman"/>
          <w:sz w:val="20"/>
          <w:szCs w:val="20"/>
          <w:lang w:val="en-GB"/>
        </w:rPr>
        <w:t>E-Views</w:t>
      </w:r>
    </w:p>
    <w:p w:rsidR="006A0548" w:rsidRDefault="006A0548" w:rsidP="00D60C8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 w:rsidRPr="00EF0AA2">
        <w:rPr>
          <w:rFonts w:ascii="Times New Roman" w:hAnsi="Times New Roman" w:cs="Times New Roman"/>
          <w:b/>
          <w:sz w:val="20"/>
          <w:szCs w:val="20"/>
          <w:lang w:val="en-GB"/>
        </w:rPr>
        <w:t>Languages</w:t>
      </w:r>
      <w:r w:rsidRPr="00EF0AA2">
        <w:rPr>
          <w:rFonts w:ascii="Times New Roman" w:hAnsi="Times New Roman" w:cs="Times New Roman"/>
          <w:sz w:val="20"/>
          <w:szCs w:val="20"/>
          <w:lang w:val="en-GB"/>
        </w:rPr>
        <w:t>: Macedonian (</w:t>
      </w:r>
      <w:r w:rsidRPr="00EF0AA2">
        <w:rPr>
          <w:rFonts w:ascii="Times New Roman" w:hAnsi="Times New Roman" w:cs="Times New Roman"/>
          <w:sz w:val="20"/>
          <w:szCs w:val="20"/>
          <w:u w:val="single"/>
          <w:lang w:val="en-GB"/>
        </w:rPr>
        <w:t>Native),</w:t>
      </w:r>
      <w:r w:rsidRPr="00EF0AA2">
        <w:rPr>
          <w:rFonts w:ascii="Times New Roman" w:hAnsi="Times New Roman" w:cs="Times New Roman"/>
          <w:sz w:val="20"/>
          <w:szCs w:val="20"/>
          <w:lang w:val="en-GB"/>
        </w:rPr>
        <w:t xml:space="preserve"> English/Serbian/Croatian (</w:t>
      </w:r>
      <w:r w:rsidRPr="00EF0AA2">
        <w:rPr>
          <w:rFonts w:ascii="Times New Roman" w:hAnsi="Times New Roman" w:cs="Times New Roman"/>
          <w:sz w:val="20"/>
          <w:szCs w:val="20"/>
          <w:u w:val="single"/>
          <w:lang w:val="en-GB"/>
        </w:rPr>
        <w:t>Fluent)</w:t>
      </w:r>
    </w:p>
    <w:p w:rsidR="00F41BC2" w:rsidRPr="00F41BC2" w:rsidRDefault="00965574" w:rsidP="00F41BC2">
      <w:pPr>
        <w:pStyle w:val="ListParagraph"/>
        <w:numPr>
          <w:ilvl w:val="0"/>
          <w:numId w:val="17"/>
        </w:numPr>
        <w:rPr>
          <w:sz w:val="20"/>
          <w:szCs w:val="20"/>
          <w:lang w:val="en-GB"/>
        </w:rPr>
      </w:pPr>
      <w:r w:rsidRPr="00965574">
        <w:rPr>
          <w:b/>
          <w:sz w:val="20"/>
          <w:szCs w:val="20"/>
          <w:lang w:val="en-GB"/>
        </w:rPr>
        <w:t>STATUS</w:t>
      </w:r>
      <w:r w:rsidR="00F41BC2" w:rsidRPr="00F41BC2">
        <w:rPr>
          <w:b/>
          <w:lang w:val="en-GB"/>
        </w:rPr>
        <w:t>:</w:t>
      </w:r>
      <w:r w:rsidR="00F41BC2" w:rsidRPr="00F41BC2">
        <w:rPr>
          <w:sz w:val="20"/>
          <w:szCs w:val="20"/>
          <w:lang w:val="en-GB"/>
        </w:rPr>
        <w:t xml:space="preserve"> Married with one child </w:t>
      </w:r>
    </w:p>
    <w:sectPr w:rsidR="00F41BC2" w:rsidRPr="00F41BC2" w:rsidSect="00EF0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28C"/>
    <w:multiLevelType w:val="hybridMultilevel"/>
    <w:tmpl w:val="5F327D9E"/>
    <w:lvl w:ilvl="0" w:tplc="D1986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D75"/>
    <w:multiLevelType w:val="hybridMultilevel"/>
    <w:tmpl w:val="1A6600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A427DA"/>
    <w:multiLevelType w:val="hybridMultilevel"/>
    <w:tmpl w:val="120A6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5DC"/>
    <w:multiLevelType w:val="hybridMultilevel"/>
    <w:tmpl w:val="670803D4"/>
    <w:lvl w:ilvl="0" w:tplc="68480D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186F"/>
    <w:multiLevelType w:val="hybridMultilevel"/>
    <w:tmpl w:val="2414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70A35"/>
    <w:multiLevelType w:val="hybridMultilevel"/>
    <w:tmpl w:val="2D823F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ECD"/>
    <w:multiLevelType w:val="hybridMultilevel"/>
    <w:tmpl w:val="DCA6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F020B"/>
    <w:multiLevelType w:val="hybridMultilevel"/>
    <w:tmpl w:val="3828B3A2"/>
    <w:lvl w:ilvl="0" w:tplc="1C625F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847A0"/>
    <w:multiLevelType w:val="hybridMultilevel"/>
    <w:tmpl w:val="1DE4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834EB"/>
    <w:multiLevelType w:val="hybridMultilevel"/>
    <w:tmpl w:val="921A6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16393"/>
    <w:multiLevelType w:val="hybridMultilevel"/>
    <w:tmpl w:val="C7CEA5F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DA1F74"/>
    <w:multiLevelType w:val="hybridMultilevel"/>
    <w:tmpl w:val="57B8C2AA"/>
    <w:lvl w:ilvl="0" w:tplc="54441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03075"/>
    <w:multiLevelType w:val="hybridMultilevel"/>
    <w:tmpl w:val="1B96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61D5F"/>
    <w:multiLevelType w:val="hybridMultilevel"/>
    <w:tmpl w:val="9618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D0B0F"/>
    <w:multiLevelType w:val="hybridMultilevel"/>
    <w:tmpl w:val="C03A139E"/>
    <w:lvl w:ilvl="0" w:tplc="79DEA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2179D"/>
    <w:multiLevelType w:val="hybridMultilevel"/>
    <w:tmpl w:val="021E7552"/>
    <w:lvl w:ilvl="0" w:tplc="211EEC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4039F"/>
    <w:multiLevelType w:val="hybridMultilevel"/>
    <w:tmpl w:val="4F8C2E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2713C"/>
    <w:multiLevelType w:val="hybridMultilevel"/>
    <w:tmpl w:val="CC04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603C3"/>
    <w:multiLevelType w:val="hybridMultilevel"/>
    <w:tmpl w:val="156C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92AF2"/>
    <w:multiLevelType w:val="hybridMultilevel"/>
    <w:tmpl w:val="B3565EBC"/>
    <w:lvl w:ilvl="0" w:tplc="B18489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8"/>
  </w:num>
  <w:num w:numId="5">
    <w:abstractNumId w:val="19"/>
  </w:num>
  <w:num w:numId="6">
    <w:abstractNumId w:val="6"/>
  </w:num>
  <w:num w:numId="7">
    <w:abstractNumId w:val="15"/>
  </w:num>
  <w:num w:numId="8">
    <w:abstractNumId w:val="4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7"/>
  </w:num>
  <w:num w:numId="15">
    <w:abstractNumId w:val="0"/>
  </w:num>
  <w:num w:numId="16">
    <w:abstractNumId w:val="1"/>
  </w:num>
  <w:num w:numId="17">
    <w:abstractNumId w:val="13"/>
  </w:num>
  <w:num w:numId="18">
    <w:abstractNumId w:val="9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83"/>
    <w:rsid w:val="00032EC2"/>
    <w:rsid w:val="000776B3"/>
    <w:rsid w:val="00084463"/>
    <w:rsid w:val="00161B19"/>
    <w:rsid w:val="0043616F"/>
    <w:rsid w:val="00487BC3"/>
    <w:rsid w:val="004A2DA9"/>
    <w:rsid w:val="004A60B2"/>
    <w:rsid w:val="004B0A63"/>
    <w:rsid w:val="005F4796"/>
    <w:rsid w:val="006A0548"/>
    <w:rsid w:val="00834160"/>
    <w:rsid w:val="00847063"/>
    <w:rsid w:val="00965574"/>
    <w:rsid w:val="00967B67"/>
    <w:rsid w:val="00970EA2"/>
    <w:rsid w:val="00A37F83"/>
    <w:rsid w:val="00AD1CAE"/>
    <w:rsid w:val="00B47809"/>
    <w:rsid w:val="00C831B0"/>
    <w:rsid w:val="00CF4C32"/>
    <w:rsid w:val="00D11D46"/>
    <w:rsid w:val="00D60C86"/>
    <w:rsid w:val="00D67C5B"/>
    <w:rsid w:val="00E53749"/>
    <w:rsid w:val="00E8144A"/>
    <w:rsid w:val="00EA0C0E"/>
    <w:rsid w:val="00EF0AA2"/>
    <w:rsid w:val="00F41BC2"/>
    <w:rsid w:val="00F4588E"/>
    <w:rsid w:val="00F5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C5F75-AA35-4B54-86D7-FCDD4ED5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7F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F8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OiaeaeiYiio2">
    <w:name w:val="O?ia eaeiYiio 2"/>
    <w:basedOn w:val="Normal"/>
    <w:rsid w:val="00D67C5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borkohandjisk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NBRM</Company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Kadievska Vojnovik</dc:creator>
  <cp:keywords/>
  <dc:description/>
  <cp:lastModifiedBy>Teo Vojnovic</cp:lastModifiedBy>
  <cp:revision>2</cp:revision>
  <dcterms:created xsi:type="dcterms:W3CDTF">2019-09-11T16:59:00Z</dcterms:created>
  <dcterms:modified xsi:type="dcterms:W3CDTF">2019-09-11T16:59:00Z</dcterms:modified>
</cp:coreProperties>
</file>